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54" w:rsidRDefault="00590454" w:rsidP="00CD22FB">
      <w:bookmarkStart w:id="0" w:name="_GoBack"/>
      <w:bookmarkEnd w:id="0"/>
    </w:p>
    <w:tbl>
      <w:tblPr>
        <w:tblW w:w="0" w:type="auto"/>
        <w:tblLayout w:type="fixed"/>
        <w:tblLook w:val="01E0" w:firstRow="1" w:lastRow="1" w:firstColumn="1" w:lastColumn="1" w:noHBand="0" w:noVBand="0"/>
      </w:tblPr>
      <w:tblGrid>
        <w:gridCol w:w="9228"/>
        <w:gridCol w:w="14"/>
      </w:tblGrid>
      <w:tr w:rsidR="00590454" w:rsidRPr="00E86A20" w:rsidTr="002A02B7">
        <w:trPr>
          <w:gridAfter w:val="1"/>
          <w:wAfter w:w="14" w:type="dxa"/>
          <w:trHeight w:val="1186"/>
        </w:trPr>
        <w:tc>
          <w:tcPr>
            <w:tcW w:w="9228" w:type="dxa"/>
          </w:tcPr>
          <w:p w:rsidR="00590454" w:rsidRPr="00E86A20" w:rsidRDefault="00590454" w:rsidP="00A93C0F">
            <w:pPr>
              <w:rPr>
                <w:rFonts w:cs="Arial"/>
                <w:b/>
                <w:sz w:val="24"/>
                <w:szCs w:val="24"/>
              </w:rPr>
            </w:pPr>
          </w:p>
          <w:p w:rsidR="00617DF0" w:rsidRDefault="00617DF0" w:rsidP="002A02B7">
            <w:pPr>
              <w:jc w:val="center"/>
              <w:rPr>
                <w:rFonts w:cs="Arial"/>
                <w:b/>
                <w:sz w:val="24"/>
                <w:szCs w:val="24"/>
              </w:rPr>
            </w:pPr>
            <w:r>
              <w:rPr>
                <w:rFonts w:cs="Arial"/>
                <w:b/>
                <w:sz w:val="24"/>
                <w:szCs w:val="24"/>
              </w:rPr>
              <w:t>Report of the Deputy Chief Executive and Director of Commerce and Customers</w:t>
            </w:r>
          </w:p>
          <w:p w:rsidR="00590454" w:rsidRDefault="00590454" w:rsidP="002A02B7">
            <w:pPr>
              <w:jc w:val="center"/>
              <w:rPr>
                <w:rFonts w:cs="Arial"/>
                <w:b/>
                <w:sz w:val="24"/>
                <w:szCs w:val="24"/>
              </w:rPr>
            </w:pPr>
            <w:r>
              <w:rPr>
                <w:rFonts w:cs="Arial"/>
                <w:b/>
                <w:sz w:val="24"/>
                <w:szCs w:val="24"/>
              </w:rPr>
              <w:t>to</w:t>
            </w:r>
          </w:p>
          <w:p w:rsidR="00617DF0" w:rsidRDefault="00F2769D" w:rsidP="00617DF0">
            <w:pPr>
              <w:jc w:val="center"/>
              <w:rPr>
                <w:rFonts w:cs="Arial"/>
                <w:b/>
                <w:sz w:val="24"/>
                <w:szCs w:val="24"/>
              </w:rPr>
            </w:pPr>
            <w:r>
              <w:rPr>
                <w:rFonts w:cs="Arial"/>
                <w:b/>
                <w:sz w:val="24"/>
                <w:szCs w:val="24"/>
              </w:rPr>
              <w:t>Overview and Scrutiny (Corporate)</w:t>
            </w:r>
          </w:p>
          <w:p w:rsidR="00590454" w:rsidRPr="00E86A20" w:rsidRDefault="00590454" w:rsidP="002A02B7">
            <w:pPr>
              <w:jc w:val="center"/>
              <w:rPr>
                <w:rFonts w:cs="Arial"/>
                <w:b/>
                <w:sz w:val="24"/>
                <w:szCs w:val="24"/>
              </w:rPr>
            </w:pPr>
            <w:r>
              <w:rPr>
                <w:rFonts w:cs="Arial"/>
                <w:b/>
                <w:sz w:val="24"/>
                <w:szCs w:val="24"/>
              </w:rPr>
              <w:t>o</w:t>
            </w:r>
            <w:r w:rsidRPr="00E86A20">
              <w:rPr>
                <w:rFonts w:cs="Arial"/>
                <w:b/>
                <w:sz w:val="24"/>
                <w:szCs w:val="24"/>
              </w:rPr>
              <w:t>n</w:t>
            </w:r>
          </w:p>
          <w:p w:rsidR="00590454" w:rsidRPr="00E86A20" w:rsidRDefault="00F04EAA" w:rsidP="00120E04">
            <w:pPr>
              <w:jc w:val="center"/>
              <w:rPr>
                <w:rFonts w:cs="Arial"/>
                <w:b/>
                <w:sz w:val="24"/>
                <w:szCs w:val="24"/>
              </w:rPr>
            </w:pPr>
            <w:r>
              <w:rPr>
                <w:rFonts w:cs="Arial"/>
                <w:b/>
                <w:sz w:val="24"/>
                <w:szCs w:val="24"/>
              </w:rPr>
              <w:t>17</w:t>
            </w:r>
            <w:r w:rsidR="007E3132">
              <w:rPr>
                <w:rFonts w:cs="Arial"/>
                <w:b/>
                <w:sz w:val="24"/>
                <w:szCs w:val="24"/>
              </w:rPr>
              <w:t xml:space="preserve"> </w:t>
            </w:r>
            <w:r w:rsidR="00120E04">
              <w:rPr>
                <w:rFonts w:cs="Arial"/>
                <w:b/>
                <w:sz w:val="24"/>
                <w:szCs w:val="24"/>
              </w:rPr>
              <w:t>September</w:t>
            </w:r>
            <w:r w:rsidR="00590454" w:rsidRPr="000D1B0A">
              <w:rPr>
                <w:rFonts w:cs="Arial"/>
                <w:b/>
                <w:sz w:val="24"/>
                <w:szCs w:val="24"/>
              </w:rPr>
              <w:t xml:space="preserve"> 201</w:t>
            </w:r>
            <w:r w:rsidR="00F16393">
              <w:rPr>
                <w:rFonts w:cs="Arial"/>
                <w:b/>
                <w:sz w:val="24"/>
                <w:szCs w:val="24"/>
              </w:rPr>
              <w:t>8</w:t>
            </w:r>
          </w:p>
        </w:tc>
      </w:tr>
      <w:tr w:rsidR="00590454" w:rsidRPr="00E86A20" w:rsidTr="002A02B7">
        <w:trPr>
          <w:gridAfter w:val="1"/>
          <w:wAfter w:w="14" w:type="dxa"/>
          <w:trHeight w:val="80"/>
        </w:trPr>
        <w:tc>
          <w:tcPr>
            <w:tcW w:w="9228" w:type="dxa"/>
          </w:tcPr>
          <w:p w:rsidR="00590454" w:rsidRPr="00E86A20" w:rsidRDefault="00590454" w:rsidP="002A02B7">
            <w:pPr>
              <w:jc w:val="center"/>
              <w:rPr>
                <w:rFonts w:cs="Arial"/>
                <w:sz w:val="24"/>
                <w:szCs w:val="24"/>
              </w:rPr>
            </w:pPr>
          </w:p>
        </w:tc>
      </w:tr>
      <w:tr w:rsidR="00590454" w:rsidRPr="00E86A20" w:rsidTr="002A02B7">
        <w:tc>
          <w:tcPr>
            <w:tcW w:w="9242" w:type="dxa"/>
            <w:gridSpan w:val="2"/>
            <w:tcBorders>
              <w:top w:val="single" w:sz="24" w:space="0" w:color="auto"/>
              <w:bottom w:val="single" w:sz="24" w:space="0" w:color="auto"/>
            </w:tcBorders>
          </w:tcPr>
          <w:p w:rsidR="00590454" w:rsidRPr="00D60900" w:rsidRDefault="008B2F1D" w:rsidP="00120E04">
            <w:pPr>
              <w:spacing w:before="240" w:after="240"/>
              <w:jc w:val="center"/>
              <w:rPr>
                <w:rFonts w:cs="Arial"/>
                <w:sz w:val="24"/>
                <w:szCs w:val="24"/>
              </w:rPr>
            </w:pPr>
            <w:r>
              <w:rPr>
                <w:rFonts w:cs="Arial"/>
                <w:b/>
                <w:sz w:val="24"/>
                <w:szCs w:val="24"/>
              </w:rPr>
              <w:t xml:space="preserve">CAPITAL </w:t>
            </w:r>
            <w:r w:rsidR="00A30984">
              <w:rPr>
                <w:rFonts w:cs="Arial"/>
                <w:b/>
                <w:sz w:val="24"/>
                <w:szCs w:val="24"/>
              </w:rPr>
              <w:t>MONITORING</w:t>
            </w:r>
            <w:r w:rsidR="00236E13">
              <w:rPr>
                <w:rFonts w:cs="Arial"/>
                <w:b/>
                <w:sz w:val="24"/>
                <w:szCs w:val="24"/>
              </w:rPr>
              <w:t xml:space="preserve"> REPORT FROM 1 APRIL TO </w:t>
            </w:r>
            <w:r w:rsidR="00120E04">
              <w:rPr>
                <w:rFonts w:cs="Arial"/>
                <w:b/>
                <w:sz w:val="24"/>
                <w:szCs w:val="24"/>
              </w:rPr>
              <w:t>14 AUGUST</w:t>
            </w:r>
            <w:r w:rsidR="00236E13">
              <w:rPr>
                <w:rFonts w:cs="Arial"/>
                <w:b/>
                <w:sz w:val="24"/>
                <w:szCs w:val="24"/>
              </w:rPr>
              <w:t xml:space="preserve"> 201</w:t>
            </w:r>
            <w:r w:rsidR="00120E04">
              <w:rPr>
                <w:rFonts w:cs="Arial"/>
                <w:b/>
                <w:sz w:val="24"/>
                <w:szCs w:val="24"/>
              </w:rPr>
              <w:t>8</w:t>
            </w:r>
          </w:p>
        </w:tc>
      </w:tr>
    </w:tbl>
    <w:p w:rsidR="00590454" w:rsidRPr="00E86A20" w:rsidRDefault="00590454" w:rsidP="00CD22FB">
      <w:pPr>
        <w:rPr>
          <w:rFonts w:cs="Arial"/>
          <w:sz w:val="24"/>
          <w:szCs w:val="24"/>
        </w:rPr>
      </w:pPr>
    </w:p>
    <w:p w:rsidR="00590454" w:rsidRPr="00D60900" w:rsidRDefault="00590454" w:rsidP="00542174">
      <w:pPr>
        <w:numPr>
          <w:ilvl w:val="0"/>
          <w:numId w:val="4"/>
        </w:numPr>
        <w:rPr>
          <w:b/>
          <w:sz w:val="24"/>
          <w:szCs w:val="24"/>
        </w:rPr>
      </w:pPr>
      <w:r w:rsidRPr="00D60900">
        <w:rPr>
          <w:b/>
          <w:sz w:val="24"/>
          <w:szCs w:val="24"/>
        </w:rPr>
        <w:t>SUMMARY</w:t>
      </w:r>
    </w:p>
    <w:p w:rsidR="00590454" w:rsidRPr="00D60900" w:rsidRDefault="00590454" w:rsidP="00D60900">
      <w:pPr>
        <w:rPr>
          <w:sz w:val="24"/>
          <w:szCs w:val="24"/>
        </w:rPr>
      </w:pPr>
    </w:p>
    <w:p w:rsidR="00590454" w:rsidRPr="00D60900" w:rsidRDefault="00590454" w:rsidP="00D60900">
      <w:pPr>
        <w:ind w:left="720" w:hanging="720"/>
        <w:rPr>
          <w:sz w:val="24"/>
          <w:szCs w:val="24"/>
        </w:rPr>
      </w:pPr>
      <w:r w:rsidRPr="00D60900">
        <w:rPr>
          <w:sz w:val="24"/>
          <w:szCs w:val="24"/>
        </w:rPr>
        <w:t>1.1</w:t>
      </w:r>
      <w:r w:rsidRPr="00D60900">
        <w:rPr>
          <w:sz w:val="24"/>
          <w:szCs w:val="24"/>
        </w:rPr>
        <w:tab/>
        <w:t xml:space="preserve">This report </w:t>
      </w:r>
      <w:r w:rsidR="00236E13">
        <w:rPr>
          <w:rFonts w:cs="Arial"/>
          <w:sz w:val="24"/>
          <w:szCs w:val="24"/>
        </w:rPr>
        <w:t xml:space="preserve">summarises the progress made on </w:t>
      </w:r>
      <w:r w:rsidR="006D3C93">
        <w:rPr>
          <w:rFonts w:cs="Arial"/>
          <w:sz w:val="24"/>
          <w:szCs w:val="24"/>
        </w:rPr>
        <w:t xml:space="preserve">the Council’s </w:t>
      </w:r>
      <w:r w:rsidR="00236E13">
        <w:rPr>
          <w:rFonts w:cs="Arial"/>
          <w:sz w:val="24"/>
          <w:szCs w:val="24"/>
        </w:rPr>
        <w:t xml:space="preserve">capital schemes up to the </w:t>
      </w:r>
      <w:r w:rsidR="00120E04">
        <w:rPr>
          <w:rFonts w:cs="Arial"/>
          <w:sz w:val="24"/>
          <w:szCs w:val="24"/>
        </w:rPr>
        <w:t>14</w:t>
      </w:r>
      <w:r w:rsidR="00236E13">
        <w:rPr>
          <w:rFonts w:cs="Arial"/>
          <w:sz w:val="24"/>
          <w:szCs w:val="24"/>
        </w:rPr>
        <w:t xml:space="preserve"> </w:t>
      </w:r>
      <w:r w:rsidR="00120E04">
        <w:rPr>
          <w:rFonts w:cs="Arial"/>
          <w:sz w:val="24"/>
          <w:szCs w:val="24"/>
        </w:rPr>
        <w:t>August</w:t>
      </w:r>
      <w:r w:rsidR="007E3132">
        <w:rPr>
          <w:rFonts w:cs="Arial"/>
          <w:sz w:val="24"/>
          <w:szCs w:val="24"/>
        </w:rPr>
        <w:t xml:space="preserve"> 201</w:t>
      </w:r>
      <w:r w:rsidR="00120E04">
        <w:rPr>
          <w:rFonts w:cs="Arial"/>
          <w:sz w:val="24"/>
          <w:szCs w:val="24"/>
        </w:rPr>
        <w:t>8</w:t>
      </w:r>
      <w:r w:rsidRPr="00D60900">
        <w:rPr>
          <w:sz w:val="24"/>
          <w:szCs w:val="24"/>
        </w:rPr>
        <w:t>.</w:t>
      </w:r>
    </w:p>
    <w:p w:rsidR="00590454" w:rsidRPr="00D60900" w:rsidRDefault="00590454" w:rsidP="00D60900">
      <w:pPr>
        <w:rPr>
          <w:sz w:val="24"/>
          <w:szCs w:val="24"/>
        </w:rPr>
      </w:pPr>
    </w:p>
    <w:p w:rsidR="00590454" w:rsidRDefault="00590454" w:rsidP="00542174">
      <w:pPr>
        <w:numPr>
          <w:ilvl w:val="0"/>
          <w:numId w:val="4"/>
        </w:numPr>
        <w:rPr>
          <w:b/>
          <w:sz w:val="24"/>
          <w:szCs w:val="24"/>
        </w:rPr>
      </w:pPr>
      <w:r w:rsidRPr="00D60900">
        <w:rPr>
          <w:b/>
          <w:sz w:val="24"/>
          <w:szCs w:val="24"/>
        </w:rPr>
        <w:t>RECOMMENDATIONS</w:t>
      </w:r>
    </w:p>
    <w:p w:rsidR="002B399C" w:rsidRDefault="002B399C" w:rsidP="00AC01C9">
      <w:pPr>
        <w:ind w:left="720" w:hanging="720"/>
        <w:rPr>
          <w:sz w:val="24"/>
          <w:szCs w:val="24"/>
        </w:rPr>
      </w:pPr>
    </w:p>
    <w:p w:rsidR="007D27A0" w:rsidRPr="00EF37AB" w:rsidRDefault="007D27A0" w:rsidP="00AC01C9">
      <w:pPr>
        <w:ind w:left="720" w:hanging="720"/>
        <w:rPr>
          <w:b/>
          <w:sz w:val="24"/>
          <w:szCs w:val="24"/>
        </w:rPr>
      </w:pPr>
      <w:r w:rsidRPr="00EF37AB">
        <w:rPr>
          <w:b/>
          <w:sz w:val="24"/>
          <w:szCs w:val="24"/>
        </w:rPr>
        <w:t>To be</w:t>
      </w:r>
      <w:r w:rsidR="00331823">
        <w:rPr>
          <w:b/>
          <w:sz w:val="24"/>
          <w:szCs w:val="24"/>
        </w:rPr>
        <w:t xml:space="preserve"> recommended to</w:t>
      </w:r>
      <w:r w:rsidRPr="00EF37AB">
        <w:rPr>
          <w:b/>
          <w:sz w:val="24"/>
          <w:szCs w:val="24"/>
        </w:rPr>
        <w:t xml:space="preserve"> Council</w:t>
      </w:r>
    </w:p>
    <w:p w:rsidR="007D27A0" w:rsidRDefault="007D27A0" w:rsidP="00AC01C9">
      <w:pPr>
        <w:ind w:left="720" w:hanging="720"/>
        <w:rPr>
          <w:sz w:val="24"/>
          <w:szCs w:val="24"/>
        </w:rPr>
      </w:pPr>
    </w:p>
    <w:p w:rsidR="005607D9" w:rsidRDefault="005607D9" w:rsidP="00AC01C9">
      <w:pPr>
        <w:ind w:left="720" w:hanging="720"/>
        <w:rPr>
          <w:sz w:val="24"/>
          <w:szCs w:val="24"/>
        </w:rPr>
      </w:pPr>
      <w:r>
        <w:rPr>
          <w:sz w:val="24"/>
          <w:szCs w:val="24"/>
        </w:rPr>
        <w:t>(i)</w:t>
      </w:r>
      <w:r>
        <w:rPr>
          <w:sz w:val="24"/>
          <w:szCs w:val="24"/>
        </w:rPr>
        <w:tab/>
        <w:t>That Council note that capital budgets totalling £</w:t>
      </w:r>
      <w:r w:rsidR="00E45A16">
        <w:rPr>
          <w:sz w:val="24"/>
          <w:szCs w:val="24"/>
        </w:rPr>
        <w:t>3</w:t>
      </w:r>
      <w:r>
        <w:rPr>
          <w:sz w:val="24"/>
          <w:szCs w:val="24"/>
        </w:rPr>
        <w:t>,8</w:t>
      </w:r>
      <w:r w:rsidR="00E45A16">
        <w:rPr>
          <w:sz w:val="24"/>
          <w:szCs w:val="24"/>
        </w:rPr>
        <w:t>48</w:t>
      </w:r>
      <w:r>
        <w:rPr>
          <w:sz w:val="24"/>
          <w:szCs w:val="24"/>
        </w:rPr>
        <w:t>,</w:t>
      </w:r>
      <w:r w:rsidR="00E45A16">
        <w:rPr>
          <w:sz w:val="24"/>
          <w:szCs w:val="24"/>
        </w:rPr>
        <w:t>763</w:t>
      </w:r>
      <w:r>
        <w:rPr>
          <w:sz w:val="24"/>
          <w:szCs w:val="24"/>
        </w:rPr>
        <w:t xml:space="preserve"> are carried forward to the 2019/2020 capital programme (see paragraph 3.1.5 and Table 4).</w:t>
      </w:r>
    </w:p>
    <w:p w:rsidR="005607D9" w:rsidRDefault="005607D9" w:rsidP="00AC01C9">
      <w:pPr>
        <w:ind w:left="720" w:hanging="720"/>
        <w:rPr>
          <w:sz w:val="24"/>
          <w:szCs w:val="24"/>
        </w:rPr>
      </w:pPr>
    </w:p>
    <w:p w:rsidR="007D27A0" w:rsidRDefault="007D60CB" w:rsidP="00AC01C9">
      <w:pPr>
        <w:ind w:left="720" w:hanging="720"/>
        <w:rPr>
          <w:sz w:val="24"/>
          <w:szCs w:val="24"/>
        </w:rPr>
      </w:pPr>
      <w:r>
        <w:rPr>
          <w:sz w:val="24"/>
          <w:szCs w:val="24"/>
        </w:rPr>
        <w:t>(</w:t>
      </w:r>
      <w:r w:rsidR="00816146">
        <w:rPr>
          <w:sz w:val="24"/>
          <w:szCs w:val="24"/>
        </w:rPr>
        <w:t>i</w:t>
      </w:r>
      <w:r w:rsidR="005607D9">
        <w:rPr>
          <w:sz w:val="24"/>
          <w:szCs w:val="24"/>
        </w:rPr>
        <w:t>i</w:t>
      </w:r>
      <w:r>
        <w:rPr>
          <w:sz w:val="24"/>
          <w:szCs w:val="24"/>
        </w:rPr>
        <w:t>)</w:t>
      </w:r>
      <w:r>
        <w:rPr>
          <w:sz w:val="24"/>
          <w:szCs w:val="24"/>
        </w:rPr>
        <w:tab/>
        <w:t xml:space="preserve">That </w:t>
      </w:r>
      <w:r w:rsidR="00067626">
        <w:rPr>
          <w:sz w:val="24"/>
          <w:szCs w:val="24"/>
        </w:rPr>
        <w:t xml:space="preserve">the </w:t>
      </w:r>
      <w:r w:rsidR="00331823">
        <w:rPr>
          <w:sz w:val="24"/>
          <w:szCs w:val="24"/>
        </w:rPr>
        <w:t xml:space="preserve">unallocated HRA capital budget of £326,000 be vired to the Fire Risk </w:t>
      </w:r>
      <w:r w:rsidR="00811940">
        <w:rPr>
          <w:sz w:val="24"/>
          <w:szCs w:val="24"/>
        </w:rPr>
        <w:t>Work</w:t>
      </w:r>
      <w:r w:rsidR="00331823">
        <w:rPr>
          <w:sz w:val="24"/>
          <w:szCs w:val="24"/>
        </w:rPr>
        <w:t xml:space="preserve">s capital budget and that budget of £292,836 be vired from the Energy Efficiency capital budget to the Fire Risk </w:t>
      </w:r>
      <w:r w:rsidR="00811940">
        <w:rPr>
          <w:sz w:val="24"/>
          <w:szCs w:val="24"/>
        </w:rPr>
        <w:t>Works</w:t>
      </w:r>
      <w:r w:rsidR="00331823">
        <w:rPr>
          <w:sz w:val="24"/>
          <w:szCs w:val="24"/>
        </w:rPr>
        <w:t xml:space="preserve"> capital budget for the reasons in paragraph </w:t>
      </w:r>
      <w:r w:rsidR="005607D9">
        <w:rPr>
          <w:sz w:val="24"/>
          <w:szCs w:val="24"/>
        </w:rPr>
        <w:t>3.1.6</w:t>
      </w:r>
      <w:r>
        <w:rPr>
          <w:sz w:val="24"/>
          <w:szCs w:val="24"/>
        </w:rPr>
        <w:t>.</w:t>
      </w:r>
    </w:p>
    <w:p w:rsidR="00811940" w:rsidRDefault="00811940" w:rsidP="00AC01C9">
      <w:pPr>
        <w:ind w:left="720" w:hanging="720"/>
        <w:rPr>
          <w:sz w:val="24"/>
          <w:szCs w:val="24"/>
        </w:rPr>
      </w:pPr>
    </w:p>
    <w:p w:rsidR="00811940" w:rsidRDefault="00811940" w:rsidP="00AC01C9">
      <w:pPr>
        <w:ind w:left="720" w:hanging="720"/>
        <w:rPr>
          <w:sz w:val="24"/>
          <w:szCs w:val="24"/>
        </w:rPr>
      </w:pPr>
      <w:r>
        <w:rPr>
          <w:sz w:val="24"/>
          <w:szCs w:val="24"/>
        </w:rPr>
        <w:t>(iii)</w:t>
      </w:r>
      <w:r>
        <w:rPr>
          <w:sz w:val="24"/>
          <w:szCs w:val="24"/>
        </w:rPr>
        <w:tab/>
        <w:t>That the Fire Risk Works capital budget be increased by £266,131 to be funded from the HRA revenue account, this being the amount of NNDR refunds which the Council has received in relation to NNDR previously paid on HRA boiler houses (see paragraph 3.1.6)</w:t>
      </w:r>
    </w:p>
    <w:p w:rsidR="006876DF" w:rsidRDefault="006876DF" w:rsidP="00AC01C9">
      <w:pPr>
        <w:ind w:left="720" w:hanging="720"/>
        <w:rPr>
          <w:sz w:val="24"/>
          <w:szCs w:val="24"/>
        </w:rPr>
      </w:pPr>
    </w:p>
    <w:p w:rsidR="006876DF" w:rsidRPr="00AC01C9" w:rsidRDefault="00811940" w:rsidP="00AC01C9">
      <w:pPr>
        <w:ind w:left="720" w:hanging="720"/>
        <w:rPr>
          <w:sz w:val="24"/>
          <w:szCs w:val="24"/>
        </w:rPr>
      </w:pPr>
      <w:r>
        <w:rPr>
          <w:sz w:val="24"/>
          <w:szCs w:val="24"/>
        </w:rPr>
        <w:t>(iv</w:t>
      </w:r>
      <w:r w:rsidR="006876DF">
        <w:rPr>
          <w:sz w:val="24"/>
          <w:szCs w:val="24"/>
        </w:rPr>
        <w:t>)</w:t>
      </w:r>
      <w:r w:rsidR="006876DF">
        <w:rPr>
          <w:sz w:val="24"/>
          <w:szCs w:val="24"/>
        </w:rPr>
        <w:tab/>
        <w:t xml:space="preserve">That the CCTV new system capital budget </w:t>
      </w:r>
      <w:r w:rsidR="00104F3A">
        <w:rPr>
          <w:sz w:val="24"/>
          <w:szCs w:val="24"/>
        </w:rPr>
        <w:t xml:space="preserve">for 2018/2019 and 2019/2020 </w:t>
      </w:r>
      <w:r w:rsidR="006876DF">
        <w:rPr>
          <w:sz w:val="24"/>
          <w:szCs w:val="24"/>
        </w:rPr>
        <w:t>is increased by £</w:t>
      </w:r>
      <w:r w:rsidR="00104F3A">
        <w:rPr>
          <w:sz w:val="24"/>
          <w:szCs w:val="24"/>
        </w:rPr>
        <w:t>12</w:t>
      </w:r>
      <w:r w:rsidR="006876DF">
        <w:rPr>
          <w:sz w:val="24"/>
          <w:szCs w:val="24"/>
        </w:rPr>
        <w:t>,</w:t>
      </w:r>
      <w:r w:rsidR="00104F3A">
        <w:rPr>
          <w:sz w:val="24"/>
          <w:szCs w:val="24"/>
        </w:rPr>
        <w:t>141</w:t>
      </w:r>
      <w:r w:rsidR="006876DF">
        <w:rPr>
          <w:sz w:val="24"/>
          <w:szCs w:val="24"/>
        </w:rPr>
        <w:t>, to be funded from CCTV capital income of £</w:t>
      </w:r>
      <w:r w:rsidR="00104F3A">
        <w:rPr>
          <w:sz w:val="24"/>
          <w:szCs w:val="24"/>
        </w:rPr>
        <w:t>9</w:t>
      </w:r>
      <w:r w:rsidR="006876DF">
        <w:rPr>
          <w:sz w:val="24"/>
          <w:szCs w:val="24"/>
        </w:rPr>
        <w:t>,</w:t>
      </w:r>
      <w:r w:rsidR="00104F3A">
        <w:rPr>
          <w:sz w:val="24"/>
          <w:szCs w:val="24"/>
        </w:rPr>
        <w:t>853</w:t>
      </w:r>
      <w:r w:rsidR="006876DF">
        <w:rPr>
          <w:sz w:val="24"/>
          <w:szCs w:val="24"/>
        </w:rPr>
        <w:t xml:space="preserve"> </w:t>
      </w:r>
      <w:r w:rsidR="005607D9">
        <w:rPr>
          <w:sz w:val="24"/>
          <w:szCs w:val="24"/>
        </w:rPr>
        <w:t>and capital receipts of £</w:t>
      </w:r>
      <w:r w:rsidR="00104F3A">
        <w:rPr>
          <w:sz w:val="24"/>
          <w:szCs w:val="24"/>
        </w:rPr>
        <w:t>2</w:t>
      </w:r>
      <w:r w:rsidR="005607D9">
        <w:rPr>
          <w:sz w:val="24"/>
          <w:szCs w:val="24"/>
        </w:rPr>
        <w:t>,</w:t>
      </w:r>
      <w:r w:rsidR="00104F3A">
        <w:rPr>
          <w:sz w:val="24"/>
          <w:szCs w:val="24"/>
        </w:rPr>
        <w:t>288</w:t>
      </w:r>
      <w:r w:rsidR="005607D9">
        <w:rPr>
          <w:sz w:val="24"/>
          <w:szCs w:val="24"/>
        </w:rPr>
        <w:t xml:space="preserve"> (see paragraph 3.1.7)</w:t>
      </w:r>
      <w:r w:rsidR="006876DF">
        <w:rPr>
          <w:sz w:val="24"/>
          <w:szCs w:val="24"/>
        </w:rPr>
        <w:t xml:space="preserve"> </w:t>
      </w:r>
    </w:p>
    <w:p w:rsidR="002B399C" w:rsidRDefault="002B399C">
      <w:pPr>
        <w:jc w:val="left"/>
        <w:rPr>
          <w:sz w:val="24"/>
          <w:szCs w:val="24"/>
        </w:rPr>
      </w:pPr>
    </w:p>
    <w:p w:rsidR="00590454" w:rsidRPr="00E86A20" w:rsidRDefault="00590454" w:rsidP="00CD22FB">
      <w:pPr>
        <w:rPr>
          <w:rFonts w:cs="Arial"/>
          <w:b/>
          <w:sz w:val="24"/>
          <w:szCs w:val="24"/>
        </w:rPr>
      </w:pPr>
      <w:r w:rsidRPr="00E86A20">
        <w:rPr>
          <w:rFonts w:cs="Arial"/>
          <w:b/>
          <w:sz w:val="24"/>
          <w:szCs w:val="24"/>
        </w:rPr>
        <w:t>3.</w:t>
      </w:r>
      <w:r w:rsidRPr="00E86A20">
        <w:rPr>
          <w:rFonts w:cs="Arial"/>
          <w:b/>
          <w:sz w:val="24"/>
          <w:szCs w:val="24"/>
        </w:rPr>
        <w:tab/>
        <w:t>BACKGROUND</w:t>
      </w:r>
    </w:p>
    <w:p w:rsidR="00590454" w:rsidRPr="00E86A20" w:rsidRDefault="00590454" w:rsidP="00CD22FB">
      <w:pPr>
        <w:rPr>
          <w:rFonts w:cs="Arial"/>
          <w:sz w:val="24"/>
          <w:szCs w:val="24"/>
        </w:rPr>
      </w:pPr>
    </w:p>
    <w:p w:rsidR="00590454" w:rsidRPr="003F3404" w:rsidRDefault="00BD2C97" w:rsidP="00CD22FB">
      <w:pPr>
        <w:numPr>
          <w:ilvl w:val="1"/>
          <w:numId w:val="1"/>
        </w:numPr>
        <w:rPr>
          <w:rFonts w:cs="Arial"/>
          <w:sz w:val="24"/>
          <w:szCs w:val="24"/>
        </w:rPr>
      </w:pPr>
      <w:r w:rsidRPr="003F3404">
        <w:rPr>
          <w:rFonts w:cs="Arial"/>
          <w:b/>
          <w:sz w:val="24"/>
          <w:szCs w:val="24"/>
        </w:rPr>
        <w:t xml:space="preserve">Approved Budget and </w:t>
      </w:r>
      <w:r w:rsidR="008A783C" w:rsidRPr="003F3404">
        <w:rPr>
          <w:rFonts w:cs="Arial"/>
          <w:b/>
          <w:sz w:val="24"/>
          <w:szCs w:val="24"/>
        </w:rPr>
        <w:t>Position</w:t>
      </w:r>
      <w:r w:rsidR="00236E13" w:rsidRPr="003F3404">
        <w:rPr>
          <w:rFonts w:cs="Arial"/>
          <w:b/>
          <w:sz w:val="24"/>
          <w:szCs w:val="24"/>
        </w:rPr>
        <w:t xml:space="preserve"> to </w:t>
      </w:r>
      <w:r w:rsidR="00331823">
        <w:rPr>
          <w:rFonts w:cs="Arial"/>
          <w:b/>
          <w:sz w:val="24"/>
          <w:szCs w:val="24"/>
        </w:rPr>
        <w:t>14</w:t>
      </w:r>
      <w:r w:rsidR="00413B1F" w:rsidRPr="003F3404">
        <w:rPr>
          <w:rFonts w:cs="Arial"/>
          <w:b/>
          <w:sz w:val="24"/>
          <w:szCs w:val="24"/>
        </w:rPr>
        <w:t xml:space="preserve"> </w:t>
      </w:r>
      <w:r w:rsidR="00331823">
        <w:rPr>
          <w:rFonts w:cs="Arial"/>
          <w:b/>
          <w:sz w:val="24"/>
          <w:szCs w:val="24"/>
        </w:rPr>
        <w:t>August</w:t>
      </w:r>
      <w:r w:rsidR="003F3404" w:rsidRPr="003F3404">
        <w:rPr>
          <w:rFonts w:cs="Arial"/>
          <w:b/>
          <w:sz w:val="24"/>
          <w:szCs w:val="24"/>
        </w:rPr>
        <w:t xml:space="preserve"> 201</w:t>
      </w:r>
      <w:r w:rsidR="00331823">
        <w:rPr>
          <w:rFonts w:cs="Arial"/>
          <w:b/>
          <w:sz w:val="24"/>
          <w:szCs w:val="24"/>
        </w:rPr>
        <w:t>8</w:t>
      </w:r>
    </w:p>
    <w:p w:rsidR="003F3404" w:rsidRPr="003F3404" w:rsidRDefault="003F3404" w:rsidP="003F3404">
      <w:pPr>
        <w:ind w:left="720"/>
        <w:rPr>
          <w:rFonts w:cs="Arial"/>
          <w:sz w:val="24"/>
          <w:szCs w:val="24"/>
        </w:rPr>
      </w:pPr>
    </w:p>
    <w:p w:rsidR="002E5BA2" w:rsidRPr="009B335D" w:rsidRDefault="002E5BA2" w:rsidP="002E5BA2">
      <w:pPr>
        <w:numPr>
          <w:ilvl w:val="2"/>
          <w:numId w:val="1"/>
        </w:numPr>
        <w:rPr>
          <w:rFonts w:cs="Arial"/>
          <w:sz w:val="24"/>
          <w:szCs w:val="24"/>
        </w:rPr>
      </w:pPr>
      <w:r w:rsidRPr="009B335D">
        <w:rPr>
          <w:rFonts w:cs="Arial"/>
          <w:sz w:val="24"/>
          <w:szCs w:val="24"/>
        </w:rPr>
        <w:t>The Council approved its consoli</w:t>
      </w:r>
      <w:r w:rsidR="003F3404">
        <w:rPr>
          <w:rFonts w:cs="Arial"/>
          <w:sz w:val="24"/>
          <w:szCs w:val="24"/>
        </w:rPr>
        <w:t>dated Capital programme for 201</w:t>
      </w:r>
      <w:r w:rsidR="005D2951">
        <w:rPr>
          <w:rFonts w:cs="Arial"/>
          <w:sz w:val="24"/>
          <w:szCs w:val="24"/>
        </w:rPr>
        <w:t>8</w:t>
      </w:r>
      <w:r w:rsidRPr="009B335D">
        <w:rPr>
          <w:rFonts w:cs="Arial"/>
          <w:sz w:val="24"/>
          <w:szCs w:val="24"/>
        </w:rPr>
        <w:t>/201</w:t>
      </w:r>
      <w:r w:rsidR="005D2951">
        <w:rPr>
          <w:rFonts w:cs="Arial"/>
          <w:sz w:val="24"/>
          <w:szCs w:val="24"/>
        </w:rPr>
        <w:t>9</w:t>
      </w:r>
      <w:r w:rsidRPr="009B335D">
        <w:rPr>
          <w:rFonts w:cs="Arial"/>
          <w:sz w:val="24"/>
          <w:szCs w:val="24"/>
        </w:rPr>
        <w:t xml:space="preserve"> on 2</w:t>
      </w:r>
      <w:r w:rsidR="005D2951">
        <w:rPr>
          <w:rFonts w:cs="Arial"/>
          <w:sz w:val="24"/>
          <w:szCs w:val="24"/>
        </w:rPr>
        <w:t>4</w:t>
      </w:r>
      <w:r w:rsidR="003F3404">
        <w:rPr>
          <w:rFonts w:cs="Arial"/>
          <w:sz w:val="24"/>
          <w:szCs w:val="24"/>
        </w:rPr>
        <w:t xml:space="preserve"> January 201</w:t>
      </w:r>
      <w:r w:rsidR="005D2951">
        <w:rPr>
          <w:rFonts w:cs="Arial"/>
          <w:sz w:val="24"/>
          <w:szCs w:val="24"/>
        </w:rPr>
        <w:t>8</w:t>
      </w:r>
      <w:r w:rsidRPr="009B335D">
        <w:rPr>
          <w:rFonts w:cs="Arial"/>
          <w:sz w:val="24"/>
          <w:szCs w:val="24"/>
        </w:rPr>
        <w:t xml:space="preserve">, bringing together existing schemes and new projects which aimed to help deliver the Council’s priorities. </w:t>
      </w:r>
      <w:r w:rsidR="00CB49C0">
        <w:rPr>
          <w:rFonts w:cs="Arial"/>
          <w:sz w:val="24"/>
          <w:szCs w:val="24"/>
        </w:rPr>
        <w:t xml:space="preserve"> </w:t>
      </w:r>
      <w:r w:rsidRPr="009B335D">
        <w:rPr>
          <w:rFonts w:cs="Arial"/>
          <w:sz w:val="24"/>
          <w:szCs w:val="24"/>
        </w:rPr>
        <w:t>The current approved 201</w:t>
      </w:r>
      <w:r w:rsidR="005D2951">
        <w:rPr>
          <w:rFonts w:cs="Arial"/>
          <w:sz w:val="24"/>
          <w:szCs w:val="24"/>
        </w:rPr>
        <w:t>8</w:t>
      </w:r>
      <w:r w:rsidRPr="009B335D">
        <w:rPr>
          <w:rFonts w:cs="Arial"/>
          <w:sz w:val="24"/>
          <w:szCs w:val="24"/>
        </w:rPr>
        <w:t>/201</w:t>
      </w:r>
      <w:r w:rsidR="005D2951">
        <w:rPr>
          <w:rFonts w:cs="Arial"/>
          <w:sz w:val="24"/>
          <w:szCs w:val="24"/>
        </w:rPr>
        <w:t>9</w:t>
      </w:r>
      <w:r w:rsidRPr="009B335D">
        <w:rPr>
          <w:rFonts w:cs="Arial"/>
          <w:sz w:val="24"/>
          <w:szCs w:val="24"/>
        </w:rPr>
        <w:t xml:space="preserve"> capital programme budget is £</w:t>
      </w:r>
      <w:r w:rsidR="005D2951">
        <w:rPr>
          <w:rFonts w:cs="Arial"/>
          <w:sz w:val="24"/>
          <w:szCs w:val="24"/>
        </w:rPr>
        <w:t>4</w:t>
      </w:r>
      <w:r w:rsidR="00E4404E">
        <w:rPr>
          <w:rFonts w:cs="Arial"/>
          <w:sz w:val="24"/>
          <w:szCs w:val="24"/>
        </w:rPr>
        <w:t>9</w:t>
      </w:r>
      <w:r w:rsidR="00A340EA">
        <w:rPr>
          <w:rFonts w:cs="Arial"/>
          <w:sz w:val="24"/>
          <w:szCs w:val="24"/>
        </w:rPr>
        <w:t>,</w:t>
      </w:r>
      <w:r w:rsidR="00E4404E">
        <w:rPr>
          <w:rFonts w:cs="Arial"/>
          <w:sz w:val="24"/>
          <w:szCs w:val="24"/>
        </w:rPr>
        <w:t>133</w:t>
      </w:r>
      <w:r w:rsidR="00A340EA">
        <w:rPr>
          <w:rFonts w:cs="Arial"/>
          <w:sz w:val="24"/>
          <w:szCs w:val="24"/>
        </w:rPr>
        <w:t>,000</w:t>
      </w:r>
      <w:r w:rsidRPr="009B335D">
        <w:rPr>
          <w:rFonts w:cs="Arial"/>
          <w:sz w:val="24"/>
          <w:szCs w:val="24"/>
        </w:rPr>
        <w:t xml:space="preserve">. </w:t>
      </w:r>
      <w:r w:rsidR="00CB49C0">
        <w:rPr>
          <w:rFonts w:cs="Arial"/>
          <w:sz w:val="24"/>
          <w:szCs w:val="24"/>
        </w:rPr>
        <w:t xml:space="preserve"> </w:t>
      </w:r>
      <w:r w:rsidR="00A30984">
        <w:rPr>
          <w:rFonts w:cs="Arial"/>
          <w:sz w:val="24"/>
          <w:szCs w:val="24"/>
        </w:rPr>
        <w:t>Table</w:t>
      </w:r>
      <w:r w:rsidRPr="009B335D">
        <w:rPr>
          <w:rFonts w:cs="Arial"/>
          <w:sz w:val="24"/>
          <w:szCs w:val="24"/>
        </w:rPr>
        <w:t xml:space="preserve"> 1 shows a reconciliation of the 201</w:t>
      </w:r>
      <w:r w:rsidR="005D2951">
        <w:rPr>
          <w:rFonts w:cs="Arial"/>
          <w:sz w:val="24"/>
          <w:szCs w:val="24"/>
        </w:rPr>
        <w:t>8</w:t>
      </w:r>
      <w:r w:rsidRPr="009B335D">
        <w:rPr>
          <w:rFonts w:cs="Arial"/>
          <w:sz w:val="24"/>
          <w:szCs w:val="24"/>
        </w:rPr>
        <w:t>/201</w:t>
      </w:r>
      <w:r w:rsidR="005D2951">
        <w:rPr>
          <w:rFonts w:cs="Arial"/>
          <w:sz w:val="24"/>
          <w:szCs w:val="24"/>
        </w:rPr>
        <w:t>9</w:t>
      </w:r>
      <w:r w:rsidRPr="009B335D">
        <w:rPr>
          <w:rFonts w:cs="Arial"/>
          <w:sz w:val="24"/>
          <w:szCs w:val="24"/>
        </w:rPr>
        <w:t xml:space="preserve"> budget total</w:t>
      </w:r>
      <w:r w:rsidR="00A30984">
        <w:rPr>
          <w:rFonts w:cs="Arial"/>
          <w:sz w:val="24"/>
          <w:szCs w:val="24"/>
        </w:rPr>
        <w:t xml:space="preserve"> to the </w:t>
      </w:r>
      <w:r w:rsidR="005D2951">
        <w:rPr>
          <w:rFonts w:cs="Arial"/>
          <w:sz w:val="24"/>
          <w:szCs w:val="24"/>
        </w:rPr>
        <w:t xml:space="preserve">consolidated capital programme </w:t>
      </w:r>
      <w:r w:rsidR="00A30984">
        <w:rPr>
          <w:rFonts w:cs="Arial"/>
          <w:sz w:val="24"/>
          <w:szCs w:val="24"/>
        </w:rPr>
        <w:t>report.</w:t>
      </w:r>
    </w:p>
    <w:p w:rsidR="00F40F09" w:rsidRDefault="00F40F09" w:rsidP="00413B1F">
      <w:pPr>
        <w:rPr>
          <w:rFonts w:cs="Arial"/>
          <w:sz w:val="24"/>
          <w:szCs w:val="24"/>
        </w:rPr>
      </w:pPr>
    </w:p>
    <w:p w:rsidR="00E1211D" w:rsidRDefault="005F16A4" w:rsidP="00E1211D">
      <w:pPr>
        <w:ind w:left="720"/>
        <w:rPr>
          <w:rFonts w:cs="Arial"/>
          <w:sz w:val="24"/>
          <w:szCs w:val="24"/>
        </w:rPr>
      </w:pPr>
      <w:r w:rsidRPr="005F16A4">
        <w:rPr>
          <w:noProof/>
        </w:rPr>
        <w:lastRenderedPageBreak/>
        <w:drawing>
          <wp:inline distT="0" distB="0" distL="0" distR="0">
            <wp:extent cx="5160645" cy="3641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0645" cy="3641725"/>
                    </a:xfrm>
                    <a:prstGeom prst="rect">
                      <a:avLst/>
                    </a:prstGeom>
                    <a:noFill/>
                    <a:ln>
                      <a:noFill/>
                    </a:ln>
                  </pic:spPr>
                </pic:pic>
              </a:graphicData>
            </a:graphic>
          </wp:inline>
        </w:drawing>
      </w:r>
    </w:p>
    <w:p w:rsidR="00A30984" w:rsidRDefault="00A30984" w:rsidP="00413B1F">
      <w:pPr>
        <w:rPr>
          <w:rFonts w:cs="Arial"/>
          <w:sz w:val="24"/>
          <w:szCs w:val="24"/>
        </w:rPr>
      </w:pPr>
    </w:p>
    <w:p w:rsidR="002E5BA2" w:rsidRDefault="001651DA" w:rsidP="002E5BA2">
      <w:pPr>
        <w:numPr>
          <w:ilvl w:val="2"/>
          <w:numId w:val="16"/>
        </w:numPr>
        <w:rPr>
          <w:rFonts w:cs="Arial"/>
          <w:sz w:val="24"/>
          <w:szCs w:val="24"/>
        </w:rPr>
      </w:pPr>
      <w:r w:rsidRPr="00994E8C">
        <w:rPr>
          <w:rFonts w:cs="Arial"/>
          <w:sz w:val="24"/>
          <w:szCs w:val="24"/>
        </w:rPr>
        <w:t xml:space="preserve">At </w:t>
      </w:r>
      <w:r w:rsidR="005D2951">
        <w:rPr>
          <w:rFonts w:cs="Arial"/>
          <w:sz w:val="24"/>
          <w:szCs w:val="24"/>
        </w:rPr>
        <w:t>14 August</w:t>
      </w:r>
      <w:r w:rsidRPr="00994E8C">
        <w:rPr>
          <w:rFonts w:cs="Arial"/>
          <w:sz w:val="24"/>
          <w:szCs w:val="24"/>
        </w:rPr>
        <w:t xml:space="preserve"> 201</w:t>
      </w:r>
      <w:r w:rsidR="005D2951">
        <w:rPr>
          <w:rFonts w:cs="Arial"/>
          <w:sz w:val="24"/>
          <w:szCs w:val="24"/>
        </w:rPr>
        <w:t>8</w:t>
      </w:r>
      <w:r w:rsidRPr="00994E8C">
        <w:rPr>
          <w:rFonts w:cs="Arial"/>
          <w:sz w:val="24"/>
          <w:szCs w:val="24"/>
        </w:rPr>
        <w:t xml:space="preserve">, </w:t>
      </w:r>
      <w:r w:rsidR="00413B1F" w:rsidRPr="00994E8C">
        <w:rPr>
          <w:rFonts w:cs="Arial"/>
          <w:sz w:val="24"/>
          <w:szCs w:val="24"/>
        </w:rPr>
        <w:t>expenditure of £</w:t>
      </w:r>
      <w:r w:rsidR="005D2951">
        <w:rPr>
          <w:rFonts w:cs="Arial"/>
          <w:sz w:val="24"/>
          <w:szCs w:val="24"/>
        </w:rPr>
        <w:t>3</w:t>
      </w:r>
      <w:r w:rsidR="00A340EA">
        <w:rPr>
          <w:rFonts w:cs="Arial"/>
          <w:sz w:val="24"/>
          <w:szCs w:val="24"/>
        </w:rPr>
        <w:t>,</w:t>
      </w:r>
      <w:r w:rsidR="005D2951">
        <w:rPr>
          <w:rFonts w:cs="Arial"/>
          <w:sz w:val="24"/>
          <w:szCs w:val="24"/>
        </w:rPr>
        <w:t>753</w:t>
      </w:r>
      <w:r w:rsidR="00A340EA">
        <w:rPr>
          <w:rFonts w:cs="Arial"/>
          <w:sz w:val="24"/>
          <w:szCs w:val="24"/>
        </w:rPr>
        <w:t>,000</w:t>
      </w:r>
      <w:r w:rsidR="00413B1F" w:rsidRPr="00994E8C">
        <w:rPr>
          <w:rFonts w:cs="Arial"/>
          <w:sz w:val="24"/>
          <w:szCs w:val="24"/>
        </w:rPr>
        <w:t xml:space="preserve"> </w:t>
      </w:r>
      <w:r w:rsidR="00AF2595">
        <w:rPr>
          <w:rFonts w:cs="Arial"/>
          <w:sz w:val="24"/>
          <w:szCs w:val="24"/>
        </w:rPr>
        <w:t>h</w:t>
      </w:r>
      <w:r w:rsidR="00413B1F" w:rsidRPr="00994E8C">
        <w:rPr>
          <w:rFonts w:cs="Arial"/>
          <w:sz w:val="24"/>
          <w:szCs w:val="24"/>
        </w:rPr>
        <w:t xml:space="preserve">as </w:t>
      </w:r>
      <w:r w:rsidR="00AF2595">
        <w:rPr>
          <w:rFonts w:cs="Arial"/>
          <w:sz w:val="24"/>
          <w:szCs w:val="24"/>
        </w:rPr>
        <w:t xml:space="preserve">been </w:t>
      </w:r>
      <w:r w:rsidR="00413B1F" w:rsidRPr="00994E8C">
        <w:rPr>
          <w:rFonts w:cs="Arial"/>
          <w:sz w:val="24"/>
          <w:szCs w:val="24"/>
        </w:rPr>
        <w:t>incurred against the</w:t>
      </w:r>
      <w:r w:rsidR="003F3404">
        <w:rPr>
          <w:rFonts w:cs="Arial"/>
          <w:sz w:val="24"/>
          <w:szCs w:val="24"/>
        </w:rPr>
        <w:t xml:space="preserve"> total budget for the year of £</w:t>
      </w:r>
      <w:r w:rsidR="005D2951">
        <w:rPr>
          <w:rFonts w:cs="Arial"/>
          <w:sz w:val="24"/>
          <w:szCs w:val="24"/>
        </w:rPr>
        <w:t>4</w:t>
      </w:r>
      <w:r w:rsidR="00E4404E">
        <w:rPr>
          <w:rFonts w:cs="Arial"/>
          <w:sz w:val="24"/>
          <w:szCs w:val="24"/>
        </w:rPr>
        <w:t>9</w:t>
      </w:r>
      <w:r w:rsidR="00A340EA">
        <w:rPr>
          <w:rFonts w:cs="Arial"/>
          <w:sz w:val="24"/>
          <w:szCs w:val="24"/>
        </w:rPr>
        <w:t>,</w:t>
      </w:r>
      <w:r w:rsidR="00E4404E">
        <w:rPr>
          <w:rFonts w:cs="Arial"/>
          <w:sz w:val="24"/>
          <w:szCs w:val="24"/>
        </w:rPr>
        <w:t>133</w:t>
      </w:r>
      <w:r w:rsidR="00A340EA">
        <w:rPr>
          <w:rFonts w:cs="Arial"/>
          <w:sz w:val="24"/>
          <w:szCs w:val="24"/>
        </w:rPr>
        <w:t>,000</w:t>
      </w:r>
      <w:r w:rsidR="00F16393">
        <w:rPr>
          <w:rFonts w:cs="Arial"/>
          <w:sz w:val="24"/>
          <w:szCs w:val="24"/>
        </w:rPr>
        <w:t>.</w:t>
      </w:r>
      <w:r w:rsidR="006853CF">
        <w:rPr>
          <w:rFonts w:cs="Arial"/>
          <w:sz w:val="24"/>
          <w:szCs w:val="24"/>
        </w:rPr>
        <w:t xml:space="preserve">  </w:t>
      </w:r>
      <w:r w:rsidR="00AF7B3E">
        <w:rPr>
          <w:rFonts w:cs="Arial"/>
          <w:sz w:val="24"/>
          <w:szCs w:val="24"/>
        </w:rPr>
        <w:t>The capital expenditure for</w:t>
      </w:r>
      <w:r w:rsidR="00A340EA">
        <w:rPr>
          <w:rFonts w:cs="Arial"/>
          <w:sz w:val="24"/>
          <w:szCs w:val="24"/>
        </w:rPr>
        <w:t xml:space="preserve"> the year is forecast to be £</w:t>
      </w:r>
      <w:r w:rsidR="005D2951">
        <w:rPr>
          <w:rFonts w:cs="Arial"/>
          <w:sz w:val="24"/>
          <w:szCs w:val="24"/>
        </w:rPr>
        <w:t>4</w:t>
      </w:r>
      <w:r w:rsidR="00D04635">
        <w:rPr>
          <w:rFonts w:cs="Arial"/>
          <w:sz w:val="24"/>
          <w:szCs w:val="24"/>
        </w:rPr>
        <w:t>3</w:t>
      </w:r>
      <w:r w:rsidR="00A340EA">
        <w:rPr>
          <w:rFonts w:cs="Arial"/>
          <w:sz w:val="24"/>
          <w:szCs w:val="24"/>
        </w:rPr>
        <w:t>,</w:t>
      </w:r>
      <w:r w:rsidR="005F16A4">
        <w:rPr>
          <w:rFonts w:cs="Arial"/>
          <w:sz w:val="24"/>
          <w:szCs w:val="24"/>
        </w:rPr>
        <w:t>5</w:t>
      </w:r>
      <w:r w:rsidR="00564A02">
        <w:rPr>
          <w:rFonts w:cs="Arial"/>
          <w:sz w:val="24"/>
          <w:szCs w:val="24"/>
        </w:rPr>
        <w:t>21</w:t>
      </w:r>
      <w:r w:rsidR="00A340EA">
        <w:rPr>
          <w:rFonts w:cs="Arial"/>
          <w:sz w:val="24"/>
          <w:szCs w:val="24"/>
        </w:rPr>
        <w:t>,</w:t>
      </w:r>
      <w:r w:rsidR="00564A02">
        <w:rPr>
          <w:rFonts w:cs="Arial"/>
          <w:sz w:val="24"/>
          <w:szCs w:val="24"/>
        </w:rPr>
        <w:t>959</w:t>
      </w:r>
      <w:r w:rsidR="00AF7B3E">
        <w:rPr>
          <w:rFonts w:cs="Arial"/>
          <w:sz w:val="24"/>
          <w:szCs w:val="24"/>
        </w:rPr>
        <w:t xml:space="preserve">.  </w:t>
      </w:r>
      <w:r w:rsidR="006853CF">
        <w:rPr>
          <w:rFonts w:cs="Arial"/>
          <w:sz w:val="24"/>
          <w:szCs w:val="24"/>
        </w:rPr>
        <w:t xml:space="preserve">Table 2 below </w:t>
      </w:r>
      <w:r w:rsidR="008D4D6C">
        <w:rPr>
          <w:rFonts w:cs="Arial"/>
          <w:sz w:val="24"/>
          <w:szCs w:val="24"/>
        </w:rPr>
        <w:t xml:space="preserve">shows how the budget and </w:t>
      </w:r>
      <w:r w:rsidR="006853CF">
        <w:rPr>
          <w:rFonts w:cs="Arial"/>
          <w:sz w:val="24"/>
          <w:szCs w:val="24"/>
        </w:rPr>
        <w:t>spending has been split between the General Fund and the Housing Revenue Account (HRA):</w:t>
      </w:r>
    </w:p>
    <w:p w:rsidR="006853CF" w:rsidRDefault="006853CF" w:rsidP="006853CF">
      <w:pPr>
        <w:ind w:left="720"/>
        <w:rPr>
          <w:rFonts w:cs="Arial"/>
          <w:sz w:val="24"/>
          <w:szCs w:val="24"/>
        </w:rPr>
      </w:pPr>
    </w:p>
    <w:p w:rsidR="00612466" w:rsidRDefault="00564A02" w:rsidP="006853CF">
      <w:pPr>
        <w:ind w:left="720"/>
        <w:rPr>
          <w:rFonts w:cs="Arial"/>
          <w:sz w:val="24"/>
          <w:szCs w:val="24"/>
        </w:rPr>
      </w:pPr>
      <w:r w:rsidRPr="00564A02">
        <w:rPr>
          <w:noProof/>
        </w:rPr>
        <w:drawing>
          <wp:inline distT="0" distB="0" distL="0" distR="0" wp14:anchorId="2F4A2C37" wp14:editId="4B8EFFD0">
            <wp:extent cx="5731510" cy="1849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49885"/>
                    </a:xfrm>
                    <a:prstGeom prst="rect">
                      <a:avLst/>
                    </a:prstGeom>
                    <a:noFill/>
                    <a:ln>
                      <a:noFill/>
                    </a:ln>
                  </pic:spPr>
                </pic:pic>
              </a:graphicData>
            </a:graphic>
          </wp:inline>
        </w:drawing>
      </w:r>
    </w:p>
    <w:p w:rsidR="008D4D6C" w:rsidRDefault="008D4D6C" w:rsidP="006853CF">
      <w:pPr>
        <w:ind w:left="720"/>
        <w:rPr>
          <w:rFonts w:cs="Arial"/>
          <w:sz w:val="24"/>
          <w:szCs w:val="24"/>
        </w:rPr>
      </w:pPr>
    </w:p>
    <w:p w:rsidR="00AF7B3E" w:rsidRDefault="008D4D6C" w:rsidP="00AF7B3E">
      <w:pPr>
        <w:ind w:left="720" w:hanging="720"/>
        <w:rPr>
          <w:rFonts w:cs="Arial"/>
          <w:sz w:val="24"/>
          <w:szCs w:val="24"/>
        </w:rPr>
      </w:pPr>
      <w:r>
        <w:rPr>
          <w:rFonts w:cs="Arial"/>
          <w:sz w:val="24"/>
          <w:szCs w:val="24"/>
        </w:rPr>
        <w:t>3.1.3</w:t>
      </w:r>
      <w:r>
        <w:rPr>
          <w:rFonts w:cs="Arial"/>
          <w:sz w:val="24"/>
          <w:szCs w:val="24"/>
        </w:rPr>
        <w:tab/>
        <w:t xml:space="preserve">The </w:t>
      </w:r>
      <w:r w:rsidR="00AF7B3E">
        <w:rPr>
          <w:rFonts w:cs="Arial"/>
          <w:sz w:val="24"/>
          <w:szCs w:val="24"/>
        </w:rPr>
        <w:t>budget for each capital scheme is rated Red, Amber or Green.  Capital schemes are not considered highly volatile due to the works being planned, however many of the schemes meet the red criteria due to the high value:</w:t>
      </w:r>
    </w:p>
    <w:p w:rsidR="00AF7B3E" w:rsidRDefault="00AF7B3E" w:rsidP="00AF7B3E">
      <w:pPr>
        <w:ind w:left="720" w:hanging="720"/>
        <w:rPr>
          <w:rFonts w:cs="Arial"/>
          <w:sz w:val="24"/>
          <w:szCs w:val="24"/>
        </w:rPr>
      </w:pPr>
    </w:p>
    <w:tbl>
      <w:tblPr>
        <w:tblStyle w:val="TableGrid"/>
        <w:tblW w:w="0" w:type="auto"/>
        <w:tblInd w:w="720" w:type="dxa"/>
        <w:tblLook w:val="04A0" w:firstRow="1" w:lastRow="0" w:firstColumn="1" w:lastColumn="0" w:noHBand="0" w:noVBand="1"/>
      </w:tblPr>
      <w:tblGrid>
        <w:gridCol w:w="2840"/>
        <w:gridCol w:w="2841"/>
        <w:gridCol w:w="2841"/>
      </w:tblGrid>
      <w:tr w:rsidR="00AF7B3E" w:rsidTr="00F51DD6">
        <w:tc>
          <w:tcPr>
            <w:tcW w:w="2840" w:type="dxa"/>
          </w:tcPr>
          <w:p w:rsidR="00AF7B3E" w:rsidRDefault="00AF7B3E" w:rsidP="00F51DD6">
            <w:pPr>
              <w:rPr>
                <w:rFonts w:cs="Arial"/>
                <w:sz w:val="24"/>
                <w:szCs w:val="24"/>
              </w:rPr>
            </w:pPr>
            <w:r>
              <w:rPr>
                <w:rFonts w:cs="Arial"/>
                <w:sz w:val="24"/>
                <w:szCs w:val="24"/>
              </w:rPr>
              <w:t>RAG Rating</w:t>
            </w:r>
          </w:p>
        </w:tc>
        <w:tc>
          <w:tcPr>
            <w:tcW w:w="2841" w:type="dxa"/>
          </w:tcPr>
          <w:p w:rsidR="00AF7B3E" w:rsidRDefault="00AF7B3E" w:rsidP="00F51DD6">
            <w:pPr>
              <w:rPr>
                <w:rFonts w:cs="Arial"/>
                <w:sz w:val="24"/>
                <w:szCs w:val="24"/>
              </w:rPr>
            </w:pPr>
            <w:r>
              <w:rPr>
                <w:rFonts w:cs="Arial"/>
                <w:sz w:val="24"/>
                <w:szCs w:val="24"/>
              </w:rPr>
              <w:t>Criteria</w:t>
            </w:r>
          </w:p>
        </w:tc>
        <w:tc>
          <w:tcPr>
            <w:tcW w:w="2841" w:type="dxa"/>
          </w:tcPr>
          <w:p w:rsidR="00AF7B3E" w:rsidRDefault="00AF7B3E" w:rsidP="00F51DD6">
            <w:pPr>
              <w:rPr>
                <w:rFonts w:cs="Arial"/>
                <w:sz w:val="24"/>
                <w:szCs w:val="24"/>
              </w:rPr>
            </w:pPr>
            <w:r>
              <w:rPr>
                <w:rFonts w:cs="Arial"/>
                <w:sz w:val="24"/>
                <w:szCs w:val="24"/>
              </w:rPr>
              <w:t>Value Criteria</w:t>
            </w:r>
          </w:p>
        </w:tc>
      </w:tr>
      <w:tr w:rsidR="00AF7B3E" w:rsidTr="00F51DD6">
        <w:tc>
          <w:tcPr>
            <w:tcW w:w="2840" w:type="dxa"/>
          </w:tcPr>
          <w:p w:rsidR="00AF7B3E" w:rsidRDefault="00AF7B3E" w:rsidP="00F51DD6">
            <w:pPr>
              <w:rPr>
                <w:rFonts w:cs="Arial"/>
                <w:sz w:val="24"/>
                <w:szCs w:val="24"/>
              </w:rPr>
            </w:pPr>
            <w:r>
              <w:rPr>
                <w:rFonts w:cs="Arial"/>
                <w:sz w:val="24"/>
                <w:szCs w:val="24"/>
              </w:rPr>
              <w:t>RED</w:t>
            </w:r>
          </w:p>
        </w:tc>
        <w:tc>
          <w:tcPr>
            <w:tcW w:w="2841" w:type="dxa"/>
          </w:tcPr>
          <w:p w:rsidR="00AF7B3E" w:rsidRDefault="00AF7B3E" w:rsidP="00381C1D">
            <w:pPr>
              <w:rPr>
                <w:rFonts w:cs="Arial"/>
                <w:sz w:val="24"/>
                <w:szCs w:val="24"/>
              </w:rPr>
            </w:pPr>
            <w:r>
              <w:rPr>
                <w:rFonts w:cs="Arial"/>
                <w:sz w:val="24"/>
                <w:szCs w:val="24"/>
              </w:rPr>
              <w:t>High value</w:t>
            </w:r>
            <w:r w:rsidR="00381C1D">
              <w:rPr>
                <w:rFonts w:cs="Arial"/>
                <w:sz w:val="24"/>
                <w:szCs w:val="24"/>
              </w:rPr>
              <w:t xml:space="preserve"> and/ or</w:t>
            </w:r>
            <w:r>
              <w:rPr>
                <w:rFonts w:cs="Arial"/>
                <w:sz w:val="24"/>
                <w:szCs w:val="24"/>
              </w:rPr>
              <w:t xml:space="preserve"> high</w:t>
            </w:r>
            <w:r w:rsidR="00381C1D">
              <w:rPr>
                <w:rFonts w:cs="Arial"/>
                <w:sz w:val="24"/>
                <w:szCs w:val="24"/>
              </w:rPr>
              <w:t>ly volatility</w:t>
            </w:r>
          </w:p>
        </w:tc>
        <w:tc>
          <w:tcPr>
            <w:tcW w:w="2841" w:type="dxa"/>
          </w:tcPr>
          <w:p w:rsidR="00AF7B3E" w:rsidRDefault="00AF7B3E" w:rsidP="00F51DD6">
            <w:pPr>
              <w:rPr>
                <w:rFonts w:cs="Arial"/>
                <w:sz w:val="24"/>
                <w:szCs w:val="24"/>
              </w:rPr>
            </w:pPr>
            <w:r>
              <w:rPr>
                <w:rFonts w:cs="Arial"/>
                <w:sz w:val="24"/>
                <w:szCs w:val="24"/>
              </w:rPr>
              <w:t>£500,000 and over</w:t>
            </w:r>
          </w:p>
        </w:tc>
      </w:tr>
      <w:tr w:rsidR="00AF7B3E" w:rsidTr="00F51DD6">
        <w:tc>
          <w:tcPr>
            <w:tcW w:w="2840" w:type="dxa"/>
          </w:tcPr>
          <w:p w:rsidR="00AF7B3E" w:rsidRDefault="00AF7B3E" w:rsidP="00F51DD6">
            <w:pPr>
              <w:rPr>
                <w:rFonts w:cs="Arial"/>
                <w:sz w:val="24"/>
                <w:szCs w:val="24"/>
              </w:rPr>
            </w:pPr>
            <w:r>
              <w:rPr>
                <w:rFonts w:cs="Arial"/>
                <w:sz w:val="24"/>
                <w:szCs w:val="24"/>
              </w:rPr>
              <w:t>AMBER</w:t>
            </w:r>
          </w:p>
        </w:tc>
        <w:tc>
          <w:tcPr>
            <w:tcW w:w="2841" w:type="dxa"/>
          </w:tcPr>
          <w:p w:rsidR="00AF7B3E" w:rsidRDefault="00AF7B3E" w:rsidP="00CA6D08">
            <w:pPr>
              <w:rPr>
                <w:rFonts w:cs="Arial"/>
                <w:sz w:val="24"/>
                <w:szCs w:val="24"/>
              </w:rPr>
            </w:pPr>
            <w:r>
              <w:rPr>
                <w:rFonts w:cs="Arial"/>
                <w:sz w:val="24"/>
                <w:szCs w:val="24"/>
              </w:rPr>
              <w:t>Medium value</w:t>
            </w:r>
            <w:r w:rsidR="00381C1D">
              <w:rPr>
                <w:rFonts w:cs="Arial"/>
                <w:sz w:val="24"/>
                <w:szCs w:val="24"/>
              </w:rPr>
              <w:t xml:space="preserve"> and/or</w:t>
            </w:r>
            <w:r>
              <w:rPr>
                <w:rFonts w:cs="Arial"/>
                <w:sz w:val="24"/>
                <w:szCs w:val="24"/>
              </w:rPr>
              <w:t xml:space="preserve"> medium volatility</w:t>
            </w:r>
          </w:p>
        </w:tc>
        <w:tc>
          <w:tcPr>
            <w:tcW w:w="2841" w:type="dxa"/>
          </w:tcPr>
          <w:p w:rsidR="00AF7B3E" w:rsidRDefault="00AF7B3E" w:rsidP="00F51DD6">
            <w:pPr>
              <w:rPr>
                <w:rFonts w:cs="Arial"/>
                <w:sz w:val="24"/>
                <w:szCs w:val="24"/>
              </w:rPr>
            </w:pPr>
            <w:r>
              <w:rPr>
                <w:rFonts w:cs="Arial"/>
                <w:sz w:val="24"/>
                <w:szCs w:val="24"/>
              </w:rPr>
              <w:t>£50,000 to £499,999</w:t>
            </w:r>
          </w:p>
        </w:tc>
      </w:tr>
      <w:tr w:rsidR="00AF7B3E" w:rsidTr="00F51DD6">
        <w:tc>
          <w:tcPr>
            <w:tcW w:w="2840" w:type="dxa"/>
          </w:tcPr>
          <w:p w:rsidR="00AF7B3E" w:rsidRDefault="00AF7B3E" w:rsidP="00F51DD6">
            <w:pPr>
              <w:rPr>
                <w:rFonts w:cs="Arial"/>
                <w:sz w:val="24"/>
                <w:szCs w:val="24"/>
              </w:rPr>
            </w:pPr>
            <w:r>
              <w:rPr>
                <w:rFonts w:cs="Arial"/>
                <w:sz w:val="24"/>
                <w:szCs w:val="24"/>
              </w:rPr>
              <w:t>GREEN</w:t>
            </w:r>
          </w:p>
        </w:tc>
        <w:tc>
          <w:tcPr>
            <w:tcW w:w="2841" w:type="dxa"/>
          </w:tcPr>
          <w:p w:rsidR="00AF7B3E" w:rsidRDefault="00381C1D" w:rsidP="00381C1D">
            <w:pPr>
              <w:rPr>
                <w:rFonts w:cs="Arial"/>
                <w:sz w:val="24"/>
                <w:szCs w:val="24"/>
              </w:rPr>
            </w:pPr>
            <w:r>
              <w:rPr>
                <w:rFonts w:cs="Arial"/>
                <w:sz w:val="24"/>
                <w:szCs w:val="24"/>
              </w:rPr>
              <w:t>Low v</w:t>
            </w:r>
            <w:r w:rsidR="00AF7B3E">
              <w:rPr>
                <w:rFonts w:cs="Arial"/>
                <w:sz w:val="24"/>
                <w:szCs w:val="24"/>
              </w:rPr>
              <w:t>alue</w:t>
            </w:r>
            <w:r>
              <w:rPr>
                <w:rFonts w:cs="Arial"/>
                <w:sz w:val="24"/>
                <w:szCs w:val="24"/>
              </w:rPr>
              <w:t xml:space="preserve"> and/ or</w:t>
            </w:r>
            <w:r w:rsidR="00AF7B3E">
              <w:rPr>
                <w:rFonts w:cs="Arial"/>
                <w:sz w:val="24"/>
                <w:szCs w:val="24"/>
              </w:rPr>
              <w:t xml:space="preserve"> low volatility</w:t>
            </w:r>
          </w:p>
        </w:tc>
        <w:tc>
          <w:tcPr>
            <w:tcW w:w="2841" w:type="dxa"/>
          </w:tcPr>
          <w:p w:rsidR="00AF7B3E" w:rsidRDefault="00AF7B3E" w:rsidP="00F51DD6">
            <w:pPr>
              <w:rPr>
                <w:rFonts w:cs="Arial"/>
                <w:sz w:val="24"/>
                <w:szCs w:val="24"/>
              </w:rPr>
            </w:pPr>
            <w:r>
              <w:rPr>
                <w:rFonts w:cs="Arial"/>
                <w:sz w:val="24"/>
                <w:szCs w:val="24"/>
              </w:rPr>
              <w:t>Under £50,000</w:t>
            </w:r>
          </w:p>
        </w:tc>
      </w:tr>
    </w:tbl>
    <w:p w:rsidR="00AF7B3E" w:rsidRDefault="00AF7B3E" w:rsidP="00AF7B3E">
      <w:pPr>
        <w:rPr>
          <w:rFonts w:cs="Arial"/>
          <w:sz w:val="24"/>
          <w:szCs w:val="24"/>
        </w:rPr>
      </w:pPr>
    </w:p>
    <w:p w:rsidR="00023C88" w:rsidRDefault="00AF7B3E" w:rsidP="00AF7B3E">
      <w:pPr>
        <w:ind w:left="720" w:hanging="720"/>
        <w:rPr>
          <w:rFonts w:cs="Arial"/>
          <w:sz w:val="24"/>
          <w:szCs w:val="24"/>
        </w:rPr>
      </w:pPr>
      <w:r>
        <w:rPr>
          <w:rFonts w:cs="Arial"/>
          <w:sz w:val="24"/>
          <w:szCs w:val="24"/>
        </w:rPr>
        <w:t>3.1.4</w:t>
      </w:r>
      <w:r>
        <w:rPr>
          <w:rFonts w:cs="Arial"/>
          <w:sz w:val="24"/>
          <w:szCs w:val="24"/>
        </w:rPr>
        <w:tab/>
        <w:t xml:space="preserve">This report provides an update on all budgets.  Spend against the budgets for individual capital schemes and the forecasts to the end of the financial year are shown in the following tables, this includes brief comments on each project.  </w:t>
      </w:r>
    </w:p>
    <w:p w:rsidR="00A340EA" w:rsidRDefault="00A340EA" w:rsidP="00AF7B3E">
      <w:pPr>
        <w:ind w:left="720" w:hanging="720"/>
        <w:rPr>
          <w:rFonts w:cs="Arial"/>
          <w:sz w:val="24"/>
          <w:szCs w:val="24"/>
        </w:rPr>
      </w:pPr>
    </w:p>
    <w:p w:rsidR="00AF7B3E" w:rsidRDefault="005F16A4" w:rsidP="006853CF">
      <w:pPr>
        <w:ind w:left="720"/>
        <w:rPr>
          <w:rFonts w:cs="Arial"/>
          <w:sz w:val="24"/>
          <w:szCs w:val="24"/>
        </w:rPr>
      </w:pPr>
      <w:r w:rsidRPr="005F16A4">
        <w:rPr>
          <w:noProof/>
        </w:rPr>
        <w:drawing>
          <wp:inline distT="0" distB="0" distL="0" distR="0" wp14:anchorId="344302B6" wp14:editId="09CBC834">
            <wp:extent cx="5731510" cy="193922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39225"/>
                    </a:xfrm>
                    <a:prstGeom prst="rect">
                      <a:avLst/>
                    </a:prstGeom>
                    <a:noFill/>
                    <a:ln>
                      <a:noFill/>
                    </a:ln>
                  </pic:spPr>
                </pic:pic>
              </a:graphicData>
            </a:graphic>
          </wp:inline>
        </w:drawing>
      </w:r>
    </w:p>
    <w:p w:rsidR="00CF0CD3" w:rsidRDefault="00E45A16" w:rsidP="006853CF">
      <w:pPr>
        <w:ind w:left="720"/>
        <w:rPr>
          <w:rFonts w:cs="Arial"/>
          <w:sz w:val="24"/>
          <w:szCs w:val="24"/>
        </w:rPr>
      </w:pPr>
      <w:r w:rsidRPr="00E45A16">
        <w:rPr>
          <w:noProof/>
        </w:rPr>
        <w:drawing>
          <wp:inline distT="0" distB="0" distL="0" distR="0" wp14:anchorId="4301595C" wp14:editId="25CDF291">
            <wp:extent cx="5731510" cy="1807253"/>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07253"/>
                    </a:xfrm>
                    <a:prstGeom prst="rect">
                      <a:avLst/>
                    </a:prstGeom>
                    <a:noFill/>
                    <a:ln>
                      <a:noFill/>
                    </a:ln>
                  </pic:spPr>
                </pic:pic>
              </a:graphicData>
            </a:graphic>
          </wp:inline>
        </w:drawing>
      </w:r>
    </w:p>
    <w:p w:rsidR="00C76EA3" w:rsidRDefault="00E45A16" w:rsidP="006853CF">
      <w:pPr>
        <w:ind w:left="720"/>
        <w:rPr>
          <w:rFonts w:cs="Arial"/>
          <w:sz w:val="24"/>
          <w:szCs w:val="24"/>
        </w:rPr>
      </w:pPr>
      <w:r w:rsidRPr="00E45A16">
        <w:rPr>
          <w:noProof/>
        </w:rPr>
        <w:drawing>
          <wp:inline distT="0" distB="0" distL="0" distR="0" wp14:anchorId="77BAB512" wp14:editId="50C1734B">
            <wp:extent cx="5731510" cy="1725452"/>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725452"/>
                    </a:xfrm>
                    <a:prstGeom prst="rect">
                      <a:avLst/>
                    </a:prstGeom>
                    <a:noFill/>
                    <a:ln>
                      <a:noFill/>
                    </a:ln>
                  </pic:spPr>
                </pic:pic>
              </a:graphicData>
            </a:graphic>
          </wp:inline>
        </w:drawing>
      </w:r>
    </w:p>
    <w:p w:rsidR="00C76EA3" w:rsidRDefault="00E45A16" w:rsidP="006853CF">
      <w:pPr>
        <w:ind w:left="720"/>
        <w:rPr>
          <w:rFonts w:cs="Arial"/>
          <w:sz w:val="24"/>
          <w:szCs w:val="24"/>
        </w:rPr>
      </w:pPr>
      <w:r w:rsidRPr="00E45A16">
        <w:rPr>
          <w:noProof/>
        </w:rPr>
        <w:drawing>
          <wp:inline distT="0" distB="0" distL="0" distR="0" wp14:anchorId="33CA6F15" wp14:editId="78144B1F">
            <wp:extent cx="5731510" cy="7467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46750"/>
                    </a:xfrm>
                    <a:prstGeom prst="rect">
                      <a:avLst/>
                    </a:prstGeom>
                    <a:noFill/>
                    <a:ln>
                      <a:noFill/>
                    </a:ln>
                  </pic:spPr>
                </pic:pic>
              </a:graphicData>
            </a:graphic>
          </wp:inline>
        </w:drawing>
      </w:r>
    </w:p>
    <w:p w:rsidR="00C76EA3" w:rsidRDefault="005F16A4" w:rsidP="006853CF">
      <w:pPr>
        <w:ind w:left="720"/>
        <w:rPr>
          <w:rFonts w:cs="Arial"/>
          <w:sz w:val="24"/>
          <w:szCs w:val="24"/>
        </w:rPr>
      </w:pPr>
      <w:r w:rsidRPr="005F16A4">
        <w:rPr>
          <w:noProof/>
        </w:rPr>
        <w:drawing>
          <wp:inline distT="0" distB="0" distL="0" distR="0" wp14:anchorId="572CBB87" wp14:editId="6A231111">
            <wp:extent cx="5731510" cy="1347350"/>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47350"/>
                    </a:xfrm>
                    <a:prstGeom prst="rect">
                      <a:avLst/>
                    </a:prstGeom>
                    <a:noFill/>
                    <a:ln>
                      <a:noFill/>
                    </a:ln>
                  </pic:spPr>
                </pic:pic>
              </a:graphicData>
            </a:graphic>
          </wp:inline>
        </w:drawing>
      </w:r>
    </w:p>
    <w:p w:rsidR="00F63FEF" w:rsidRDefault="005F16A4" w:rsidP="006853CF">
      <w:pPr>
        <w:ind w:left="720"/>
        <w:rPr>
          <w:rFonts w:cs="Arial"/>
          <w:sz w:val="24"/>
          <w:szCs w:val="24"/>
        </w:rPr>
      </w:pPr>
      <w:r w:rsidRPr="005F16A4">
        <w:rPr>
          <w:noProof/>
        </w:rPr>
        <w:lastRenderedPageBreak/>
        <w:drawing>
          <wp:inline distT="0" distB="0" distL="0" distR="0" wp14:anchorId="712C999C" wp14:editId="570DF0DA">
            <wp:extent cx="5731510" cy="550792"/>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50792"/>
                    </a:xfrm>
                    <a:prstGeom prst="rect">
                      <a:avLst/>
                    </a:prstGeom>
                    <a:noFill/>
                    <a:ln>
                      <a:noFill/>
                    </a:ln>
                  </pic:spPr>
                </pic:pic>
              </a:graphicData>
            </a:graphic>
          </wp:inline>
        </w:drawing>
      </w:r>
    </w:p>
    <w:p w:rsidR="00F63FEF" w:rsidRDefault="00BE66E6" w:rsidP="006853CF">
      <w:pPr>
        <w:ind w:left="720"/>
        <w:rPr>
          <w:rFonts w:cs="Arial"/>
          <w:sz w:val="24"/>
          <w:szCs w:val="24"/>
        </w:rPr>
      </w:pPr>
      <w:r w:rsidRPr="00BE66E6">
        <w:rPr>
          <w:noProof/>
        </w:rPr>
        <w:drawing>
          <wp:inline distT="0" distB="0" distL="0" distR="0" wp14:anchorId="261C0CCA" wp14:editId="1D23730F">
            <wp:extent cx="5731510" cy="6518979"/>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6518979"/>
                    </a:xfrm>
                    <a:prstGeom prst="rect">
                      <a:avLst/>
                    </a:prstGeom>
                    <a:noFill/>
                    <a:ln>
                      <a:noFill/>
                    </a:ln>
                  </pic:spPr>
                </pic:pic>
              </a:graphicData>
            </a:graphic>
          </wp:inline>
        </w:drawing>
      </w:r>
    </w:p>
    <w:p w:rsidR="00F63FEF" w:rsidRDefault="00BE66E6" w:rsidP="006853CF">
      <w:pPr>
        <w:ind w:left="720"/>
        <w:rPr>
          <w:rFonts w:cs="Arial"/>
          <w:sz w:val="24"/>
          <w:szCs w:val="24"/>
        </w:rPr>
      </w:pPr>
      <w:r w:rsidRPr="00BE66E6">
        <w:rPr>
          <w:noProof/>
        </w:rPr>
        <w:drawing>
          <wp:inline distT="0" distB="0" distL="0" distR="0" wp14:anchorId="0FAB93B7" wp14:editId="444E7B6B">
            <wp:extent cx="5731510" cy="1215378"/>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215378"/>
                    </a:xfrm>
                    <a:prstGeom prst="rect">
                      <a:avLst/>
                    </a:prstGeom>
                    <a:noFill/>
                    <a:ln>
                      <a:noFill/>
                    </a:ln>
                  </pic:spPr>
                </pic:pic>
              </a:graphicData>
            </a:graphic>
          </wp:inline>
        </w:drawing>
      </w:r>
    </w:p>
    <w:p w:rsidR="00F63FEF" w:rsidRDefault="00F63FEF" w:rsidP="006853CF">
      <w:pPr>
        <w:ind w:left="720"/>
        <w:rPr>
          <w:rFonts w:cs="Arial"/>
          <w:sz w:val="24"/>
          <w:szCs w:val="24"/>
        </w:rPr>
      </w:pPr>
    </w:p>
    <w:p w:rsidR="00F63FEF" w:rsidRDefault="00F63FEF" w:rsidP="006853CF">
      <w:pPr>
        <w:ind w:left="720"/>
        <w:rPr>
          <w:rFonts w:cs="Arial"/>
          <w:sz w:val="24"/>
          <w:szCs w:val="24"/>
        </w:rPr>
      </w:pPr>
    </w:p>
    <w:p w:rsidR="00F63FEF" w:rsidRDefault="00564A02" w:rsidP="006853CF">
      <w:pPr>
        <w:ind w:left="720"/>
        <w:rPr>
          <w:rFonts w:cs="Arial"/>
          <w:sz w:val="24"/>
          <w:szCs w:val="24"/>
        </w:rPr>
      </w:pPr>
      <w:r w:rsidRPr="00564A02">
        <w:rPr>
          <w:noProof/>
        </w:rPr>
        <w:lastRenderedPageBreak/>
        <w:drawing>
          <wp:inline distT="0" distB="0" distL="0" distR="0" wp14:anchorId="6935DC6C" wp14:editId="52560748">
            <wp:extent cx="5731510" cy="421110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211106"/>
                    </a:xfrm>
                    <a:prstGeom prst="rect">
                      <a:avLst/>
                    </a:prstGeom>
                    <a:noFill/>
                    <a:ln>
                      <a:noFill/>
                    </a:ln>
                  </pic:spPr>
                </pic:pic>
              </a:graphicData>
            </a:graphic>
          </wp:inline>
        </w:drawing>
      </w:r>
    </w:p>
    <w:p w:rsidR="00F63FEF" w:rsidRDefault="00F63FEF" w:rsidP="006853CF">
      <w:pPr>
        <w:ind w:left="720"/>
        <w:rPr>
          <w:rFonts w:cs="Arial"/>
          <w:sz w:val="24"/>
          <w:szCs w:val="24"/>
        </w:rPr>
      </w:pPr>
    </w:p>
    <w:p w:rsidR="002C60DA" w:rsidRDefault="005F16A4" w:rsidP="006853CF">
      <w:pPr>
        <w:ind w:left="720"/>
        <w:rPr>
          <w:rFonts w:cs="Arial"/>
          <w:sz w:val="24"/>
          <w:szCs w:val="24"/>
        </w:rPr>
      </w:pPr>
      <w:r w:rsidRPr="005F16A4">
        <w:rPr>
          <w:noProof/>
        </w:rPr>
        <w:lastRenderedPageBreak/>
        <w:drawing>
          <wp:inline distT="0" distB="0" distL="0" distR="0" wp14:anchorId="7B04D6A6" wp14:editId="03AB9991">
            <wp:extent cx="5731510" cy="5116731"/>
            <wp:effectExtent l="0" t="0" r="254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5116731"/>
                    </a:xfrm>
                    <a:prstGeom prst="rect">
                      <a:avLst/>
                    </a:prstGeom>
                    <a:noFill/>
                    <a:ln>
                      <a:noFill/>
                    </a:ln>
                  </pic:spPr>
                </pic:pic>
              </a:graphicData>
            </a:graphic>
          </wp:inline>
        </w:drawing>
      </w:r>
    </w:p>
    <w:p w:rsidR="00B2241C" w:rsidRDefault="00B2241C" w:rsidP="006853CF">
      <w:pPr>
        <w:ind w:left="720"/>
        <w:rPr>
          <w:rFonts w:cs="Arial"/>
          <w:sz w:val="24"/>
          <w:szCs w:val="24"/>
        </w:rPr>
      </w:pPr>
    </w:p>
    <w:p w:rsidR="005F16A4" w:rsidRDefault="00564A02" w:rsidP="006853CF">
      <w:pPr>
        <w:ind w:left="720"/>
        <w:rPr>
          <w:rFonts w:cs="Arial"/>
          <w:sz w:val="24"/>
          <w:szCs w:val="24"/>
        </w:rPr>
      </w:pPr>
      <w:r w:rsidRPr="00564A02">
        <w:rPr>
          <w:noProof/>
        </w:rPr>
        <w:drawing>
          <wp:inline distT="0" distB="0" distL="0" distR="0" wp14:anchorId="6CA2DF7A" wp14:editId="3F644202">
            <wp:extent cx="5731510" cy="162510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625109"/>
                    </a:xfrm>
                    <a:prstGeom prst="rect">
                      <a:avLst/>
                    </a:prstGeom>
                    <a:noFill/>
                    <a:ln>
                      <a:noFill/>
                    </a:ln>
                  </pic:spPr>
                </pic:pic>
              </a:graphicData>
            </a:graphic>
          </wp:inline>
        </w:drawing>
      </w:r>
    </w:p>
    <w:p w:rsidR="005F16A4" w:rsidRDefault="005F16A4" w:rsidP="006853CF">
      <w:pPr>
        <w:ind w:left="720"/>
        <w:rPr>
          <w:rFonts w:cs="Arial"/>
          <w:sz w:val="24"/>
          <w:szCs w:val="24"/>
        </w:rPr>
      </w:pPr>
    </w:p>
    <w:p w:rsidR="005F16A4" w:rsidRDefault="005F16A4" w:rsidP="006853CF">
      <w:pPr>
        <w:ind w:left="720"/>
        <w:rPr>
          <w:rFonts w:cs="Arial"/>
          <w:sz w:val="24"/>
          <w:szCs w:val="24"/>
        </w:rPr>
      </w:pPr>
    </w:p>
    <w:p w:rsidR="005F16A4" w:rsidRDefault="005F16A4" w:rsidP="006853CF">
      <w:pPr>
        <w:ind w:left="720"/>
        <w:rPr>
          <w:rFonts w:cs="Arial"/>
          <w:sz w:val="24"/>
          <w:szCs w:val="24"/>
        </w:rPr>
      </w:pPr>
    </w:p>
    <w:p w:rsidR="005F16A4" w:rsidRDefault="005F16A4" w:rsidP="006853CF">
      <w:pPr>
        <w:ind w:left="720"/>
        <w:rPr>
          <w:rFonts w:cs="Arial"/>
          <w:sz w:val="24"/>
          <w:szCs w:val="24"/>
        </w:rPr>
      </w:pPr>
    </w:p>
    <w:p w:rsidR="005F16A4" w:rsidRDefault="005F16A4" w:rsidP="006853CF">
      <w:pPr>
        <w:ind w:left="720"/>
        <w:rPr>
          <w:rFonts w:cs="Arial"/>
          <w:sz w:val="24"/>
          <w:szCs w:val="24"/>
        </w:rPr>
      </w:pPr>
    </w:p>
    <w:p w:rsidR="005F16A4" w:rsidRDefault="005F16A4" w:rsidP="006853CF">
      <w:pPr>
        <w:ind w:left="720"/>
        <w:rPr>
          <w:rFonts w:cs="Arial"/>
          <w:sz w:val="24"/>
          <w:szCs w:val="24"/>
        </w:rPr>
      </w:pPr>
    </w:p>
    <w:p w:rsidR="005F16A4" w:rsidRDefault="005F16A4" w:rsidP="006853CF">
      <w:pPr>
        <w:ind w:left="720"/>
        <w:rPr>
          <w:rFonts w:cs="Arial"/>
          <w:sz w:val="24"/>
          <w:szCs w:val="24"/>
        </w:rPr>
      </w:pPr>
    </w:p>
    <w:p w:rsidR="005F16A4" w:rsidRDefault="005F16A4" w:rsidP="006853CF">
      <w:pPr>
        <w:ind w:left="720"/>
        <w:rPr>
          <w:rFonts w:cs="Arial"/>
          <w:sz w:val="24"/>
          <w:szCs w:val="24"/>
        </w:rPr>
      </w:pPr>
      <w:r w:rsidRPr="005F16A4">
        <w:rPr>
          <w:noProof/>
        </w:rPr>
        <w:lastRenderedPageBreak/>
        <w:drawing>
          <wp:inline distT="0" distB="0" distL="0" distR="0" wp14:anchorId="4F0485AE" wp14:editId="7B8949CF">
            <wp:extent cx="5731510" cy="4397611"/>
            <wp:effectExtent l="0" t="0" r="254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397611"/>
                    </a:xfrm>
                    <a:prstGeom prst="rect">
                      <a:avLst/>
                    </a:prstGeom>
                    <a:noFill/>
                    <a:ln>
                      <a:noFill/>
                    </a:ln>
                  </pic:spPr>
                </pic:pic>
              </a:graphicData>
            </a:graphic>
          </wp:inline>
        </w:drawing>
      </w:r>
    </w:p>
    <w:p w:rsidR="005F16A4" w:rsidRDefault="005F16A4" w:rsidP="006853CF">
      <w:pPr>
        <w:ind w:left="720"/>
        <w:rPr>
          <w:rFonts w:cs="Arial"/>
          <w:sz w:val="24"/>
          <w:szCs w:val="24"/>
        </w:rPr>
      </w:pPr>
    </w:p>
    <w:p w:rsidR="006853CF" w:rsidRDefault="00AF7B3E" w:rsidP="00AF7B3E">
      <w:pPr>
        <w:ind w:left="720" w:hanging="720"/>
        <w:rPr>
          <w:rFonts w:cs="Arial"/>
          <w:sz w:val="24"/>
          <w:szCs w:val="24"/>
        </w:rPr>
      </w:pPr>
      <w:r>
        <w:rPr>
          <w:rFonts w:cs="Arial"/>
          <w:sz w:val="24"/>
          <w:szCs w:val="24"/>
        </w:rPr>
        <w:t>3.1.5</w:t>
      </w:r>
      <w:r>
        <w:rPr>
          <w:rFonts w:cs="Arial"/>
          <w:sz w:val="24"/>
          <w:szCs w:val="24"/>
        </w:rPr>
        <w:tab/>
      </w:r>
      <w:r w:rsidR="006853CF">
        <w:rPr>
          <w:rFonts w:cs="Arial"/>
          <w:sz w:val="24"/>
          <w:szCs w:val="24"/>
        </w:rPr>
        <w:t>Project officers have requested that budget</w:t>
      </w:r>
      <w:r w:rsidR="00CA6D08">
        <w:rPr>
          <w:rFonts w:cs="Arial"/>
          <w:sz w:val="24"/>
          <w:szCs w:val="24"/>
        </w:rPr>
        <w:t>s</w:t>
      </w:r>
      <w:r w:rsidR="006853CF">
        <w:rPr>
          <w:rFonts w:cs="Arial"/>
          <w:sz w:val="24"/>
          <w:szCs w:val="24"/>
        </w:rPr>
        <w:t xml:space="preserve"> of £</w:t>
      </w:r>
      <w:r w:rsidR="00BE66E6">
        <w:rPr>
          <w:rFonts w:cs="Arial"/>
          <w:sz w:val="24"/>
          <w:szCs w:val="24"/>
        </w:rPr>
        <w:t>3,968</w:t>
      </w:r>
      <w:r w:rsidR="006853CF">
        <w:rPr>
          <w:rFonts w:cs="Arial"/>
          <w:sz w:val="24"/>
          <w:szCs w:val="24"/>
        </w:rPr>
        <w:t>,</w:t>
      </w:r>
      <w:r w:rsidR="00BE66E6">
        <w:rPr>
          <w:rFonts w:cs="Arial"/>
          <w:sz w:val="24"/>
          <w:szCs w:val="24"/>
        </w:rPr>
        <w:t>918</w:t>
      </w:r>
      <w:r w:rsidR="006853CF">
        <w:rPr>
          <w:rFonts w:cs="Arial"/>
          <w:sz w:val="24"/>
          <w:szCs w:val="24"/>
        </w:rPr>
        <w:t xml:space="preserve"> be carried forward to the 201</w:t>
      </w:r>
      <w:r w:rsidR="00F07102">
        <w:rPr>
          <w:rFonts w:cs="Arial"/>
          <w:sz w:val="24"/>
          <w:szCs w:val="24"/>
        </w:rPr>
        <w:t>9</w:t>
      </w:r>
      <w:r w:rsidR="006853CF">
        <w:rPr>
          <w:rFonts w:cs="Arial"/>
          <w:sz w:val="24"/>
          <w:szCs w:val="24"/>
        </w:rPr>
        <w:t>/20</w:t>
      </w:r>
      <w:r w:rsidR="00F07102">
        <w:rPr>
          <w:rFonts w:cs="Arial"/>
          <w:sz w:val="24"/>
          <w:szCs w:val="24"/>
        </w:rPr>
        <w:t>20</w:t>
      </w:r>
      <w:r w:rsidR="006853CF">
        <w:rPr>
          <w:rFonts w:cs="Arial"/>
          <w:sz w:val="24"/>
          <w:szCs w:val="24"/>
        </w:rPr>
        <w:t xml:space="preserve"> capital programme where it is forecast that spending will take place in the next financial year, Table 4 shows the individual budgets to be carried forward:</w:t>
      </w:r>
    </w:p>
    <w:p w:rsidR="006853CF" w:rsidRDefault="006853CF" w:rsidP="006853CF">
      <w:pPr>
        <w:ind w:left="720"/>
        <w:rPr>
          <w:rFonts w:cs="Arial"/>
          <w:sz w:val="24"/>
          <w:szCs w:val="24"/>
        </w:rPr>
      </w:pPr>
    </w:p>
    <w:p w:rsidR="00994E8C" w:rsidRDefault="00A73457" w:rsidP="00994E8C">
      <w:pPr>
        <w:ind w:left="720"/>
        <w:rPr>
          <w:rFonts w:cs="Arial"/>
          <w:sz w:val="24"/>
          <w:szCs w:val="24"/>
        </w:rPr>
      </w:pPr>
      <w:r w:rsidRPr="00A73457">
        <w:rPr>
          <w:noProof/>
        </w:rPr>
        <w:lastRenderedPageBreak/>
        <w:drawing>
          <wp:inline distT="0" distB="0" distL="0" distR="0" wp14:anchorId="388A2BE0" wp14:editId="27C1EF64">
            <wp:extent cx="5731510" cy="8454382"/>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8454382"/>
                    </a:xfrm>
                    <a:prstGeom prst="rect">
                      <a:avLst/>
                    </a:prstGeom>
                    <a:noFill/>
                    <a:ln>
                      <a:noFill/>
                    </a:ln>
                  </pic:spPr>
                </pic:pic>
              </a:graphicData>
            </a:graphic>
          </wp:inline>
        </w:drawing>
      </w:r>
    </w:p>
    <w:p w:rsidR="0086698C" w:rsidRDefault="0086698C" w:rsidP="0086698C">
      <w:pPr>
        <w:ind w:left="720" w:hanging="720"/>
        <w:rPr>
          <w:rFonts w:cs="Arial"/>
          <w:sz w:val="24"/>
          <w:szCs w:val="24"/>
        </w:rPr>
      </w:pPr>
    </w:p>
    <w:p w:rsidR="0086698C" w:rsidRDefault="0086698C" w:rsidP="0086698C">
      <w:pPr>
        <w:ind w:left="720" w:hanging="720"/>
        <w:rPr>
          <w:rFonts w:cs="Arial"/>
          <w:sz w:val="24"/>
          <w:szCs w:val="24"/>
        </w:rPr>
      </w:pPr>
      <w:r>
        <w:rPr>
          <w:rFonts w:cs="Arial"/>
          <w:sz w:val="24"/>
          <w:szCs w:val="24"/>
        </w:rPr>
        <w:lastRenderedPageBreak/>
        <w:t>3.1.</w:t>
      </w:r>
      <w:r w:rsidR="005F16A4">
        <w:rPr>
          <w:rFonts w:cs="Arial"/>
          <w:sz w:val="24"/>
          <w:szCs w:val="24"/>
        </w:rPr>
        <w:t>6</w:t>
      </w:r>
      <w:r>
        <w:rPr>
          <w:rFonts w:cs="Arial"/>
          <w:sz w:val="24"/>
          <w:szCs w:val="24"/>
        </w:rPr>
        <w:tab/>
      </w:r>
      <w:r w:rsidR="00F07102">
        <w:rPr>
          <w:rFonts w:cs="Arial"/>
          <w:sz w:val="24"/>
          <w:szCs w:val="24"/>
        </w:rPr>
        <w:t xml:space="preserve">Following fire risk assessments being carried out at sheltered housing complexes it is estimated that the works required may be as much as £4.5million over two years. </w:t>
      </w:r>
      <w:r w:rsidR="005F16A4">
        <w:rPr>
          <w:rFonts w:cs="Arial"/>
          <w:sz w:val="24"/>
          <w:szCs w:val="24"/>
        </w:rPr>
        <w:t xml:space="preserve"> </w:t>
      </w:r>
      <w:r w:rsidR="00A838E2">
        <w:rPr>
          <w:rFonts w:cs="Arial"/>
          <w:sz w:val="24"/>
          <w:szCs w:val="24"/>
        </w:rPr>
        <w:t xml:space="preserve">To part fund these works it is </w:t>
      </w:r>
      <w:r w:rsidR="00F07102">
        <w:rPr>
          <w:rFonts w:cs="Arial"/>
          <w:sz w:val="24"/>
          <w:szCs w:val="24"/>
        </w:rPr>
        <w:t xml:space="preserve">proposed that </w:t>
      </w:r>
      <w:r w:rsidR="00F07102">
        <w:rPr>
          <w:sz w:val="24"/>
          <w:szCs w:val="24"/>
        </w:rPr>
        <w:t>the unallocated HRA capital budget of £326,000 be vired to the Fire Risk Assessments capital budget and that budget of £292,836 be vired from the Energy Efficiency capital budget to the Fire Risk Assessments capital budget</w:t>
      </w:r>
      <w:r>
        <w:rPr>
          <w:rFonts w:cs="Arial"/>
          <w:sz w:val="24"/>
          <w:szCs w:val="24"/>
        </w:rPr>
        <w:t>.</w:t>
      </w:r>
      <w:r w:rsidR="00811940">
        <w:rPr>
          <w:rFonts w:cs="Arial"/>
          <w:sz w:val="24"/>
          <w:szCs w:val="24"/>
        </w:rPr>
        <w:t xml:space="preserve">  </w:t>
      </w:r>
      <w:r w:rsidR="00E45A16">
        <w:rPr>
          <w:rFonts w:cs="Arial"/>
          <w:sz w:val="24"/>
          <w:szCs w:val="24"/>
        </w:rPr>
        <w:t>In addition it is proposed that the budget be</w:t>
      </w:r>
      <w:r w:rsidR="00811940">
        <w:rPr>
          <w:sz w:val="24"/>
          <w:szCs w:val="24"/>
        </w:rPr>
        <w:t xml:space="preserve"> increased by £266,131 to be funded from the HRA revenue account, this being the amount of NNDR refunds which the Council has received in relation to NNDR previously paid on HRA boiler houses</w:t>
      </w:r>
      <w:r w:rsidR="00E45A16">
        <w:rPr>
          <w:sz w:val="24"/>
          <w:szCs w:val="24"/>
        </w:rPr>
        <w:t>.</w:t>
      </w:r>
    </w:p>
    <w:p w:rsidR="0086698C" w:rsidRDefault="0086698C" w:rsidP="0086698C">
      <w:pPr>
        <w:ind w:left="720" w:hanging="720"/>
        <w:rPr>
          <w:rFonts w:cs="Arial"/>
          <w:sz w:val="24"/>
          <w:szCs w:val="24"/>
        </w:rPr>
      </w:pPr>
    </w:p>
    <w:p w:rsidR="0086698C" w:rsidRDefault="0086698C" w:rsidP="0086698C">
      <w:pPr>
        <w:ind w:left="720" w:hanging="720"/>
        <w:rPr>
          <w:rFonts w:cs="Arial"/>
          <w:sz w:val="24"/>
          <w:szCs w:val="24"/>
        </w:rPr>
      </w:pPr>
      <w:r>
        <w:rPr>
          <w:rFonts w:cs="Arial"/>
          <w:sz w:val="24"/>
          <w:szCs w:val="24"/>
        </w:rPr>
        <w:t>3.1.</w:t>
      </w:r>
      <w:r w:rsidR="005F16A4">
        <w:rPr>
          <w:rFonts w:cs="Arial"/>
          <w:sz w:val="24"/>
          <w:szCs w:val="24"/>
        </w:rPr>
        <w:t>7</w:t>
      </w:r>
      <w:r>
        <w:rPr>
          <w:rFonts w:cs="Arial"/>
          <w:sz w:val="24"/>
          <w:szCs w:val="24"/>
        </w:rPr>
        <w:tab/>
      </w:r>
      <w:r w:rsidR="00E12BC7">
        <w:rPr>
          <w:rFonts w:cs="Arial"/>
          <w:sz w:val="24"/>
          <w:szCs w:val="24"/>
        </w:rPr>
        <w:t xml:space="preserve">The Council started a scheme to replace the existing CCTV system in 2013/2014, this work is nearing completion, however the remaining </w:t>
      </w:r>
      <w:r w:rsidR="00564A02">
        <w:rPr>
          <w:rFonts w:cs="Arial"/>
          <w:sz w:val="24"/>
          <w:szCs w:val="24"/>
        </w:rPr>
        <w:t>payments to the contractor</w:t>
      </w:r>
      <w:r w:rsidR="00E12BC7">
        <w:rPr>
          <w:rFonts w:cs="Arial"/>
          <w:sz w:val="24"/>
          <w:szCs w:val="24"/>
        </w:rPr>
        <w:t xml:space="preserve"> are expected to</w:t>
      </w:r>
      <w:r w:rsidR="00564A02">
        <w:rPr>
          <w:rFonts w:cs="Arial"/>
          <w:sz w:val="24"/>
          <w:szCs w:val="24"/>
        </w:rPr>
        <w:t xml:space="preserve"> exceed the capital budget by £12,141</w:t>
      </w:r>
      <w:r w:rsidR="00E12BC7">
        <w:rPr>
          <w:rFonts w:cs="Arial"/>
          <w:sz w:val="24"/>
          <w:szCs w:val="24"/>
        </w:rPr>
        <w:t>, it is proposed that the CCTV capital budget be increased by £</w:t>
      </w:r>
      <w:r w:rsidR="00564A02">
        <w:rPr>
          <w:rFonts w:cs="Arial"/>
          <w:sz w:val="24"/>
          <w:szCs w:val="24"/>
        </w:rPr>
        <w:t>4</w:t>
      </w:r>
      <w:r w:rsidR="00E12BC7">
        <w:rPr>
          <w:rFonts w:cs="Arial"/>
          <w:sz w:val="24"/>
          <w:szCs w:val="24"/>
        </w:rPr>
        <w:t>,</w:t>
      </w:r>
      <w:r w:rsidR="00564A02">
        <w:rPr>
          <w:rFonts w:cs="Arial"/>
          <w:sz w:val="24"/>
          <w:szCs w:val="24"/>
        </w:rPr>
        <w:t>577 in 2018/2019</w:t>
      </w:r>
      <w:r w:rsidR="00E12BC7">
        <w:rPr>
          <w:rFonts w:cs="Arial"/>
          <w:sz w:val="24"/>
          <w:szCs w:val="24"/>
        </w:rPr>
        <w:t xml:space="preserve"> and </w:t>
      </w:r>
      <w:r w:rsidR="00564A02">
        <w:rPr>
          <w:rFonts w:cs="Arial"/>
          <w:sz w:val="24"/>
          <w:szCs w:val="24"/>
        </w:rPr>
        <w:t xml:space="preserve">increased </w:t>
      </w:r>
      <w:r w:rsidR="0073321C">
        <w:rPr>
          <w:rFonts w:cs="Arial"/>
          <w:sz w:val="24"/>
          <w:szCs w:val="24"/>
        </w:rPr>
        <w:t>by a further £7,564 in 2019/2020 to cover the retention payment. T</w:t>
      </w:r>
      <w:r w:rsidR="00E12BC7">
        <w:rPr>
          <w:rFonts w:cs="Arial"/>
          <w:sz w:val="24"/>
          <w:szCs w:val="24"/>
        </w:rPr>
        <w:t xml:space="preserve">his additional expenditure is </w:t>
      </w:r>
      <w:r w:rsidR="0073321C">
        <w:rPr>
          <w:rFonts w:cs="Arial"/>
          <w:sz w:val="24"/>
          <w:szCs w:val="24"/>
        </w:rPr>
        <w:t xml:space="preserve">to be </w:t>
      </w:r>
      <w:r w:rsidR="00E12BC7">
        <w:rPr>
          <w:rFonts w:cs="Arial"/>
          <w:sz w:val="24"/>
          <w:szCs w:val="24"/>
        </w:rPr>
        <w:t>financed from CCTV capital income of £</w:t>
      </w:r>
      <w:r w:rsidR="0073321C">
        <w:rPr>
          <w:rFonts w:cs="Arial"/>
          <w:sz w:val="24"/>
          <w:szCs w:val="24"/>
        </w:rPr>
        <w:t>9,853</w:t>
      </w:r>
      <w:r w:rsidR="00E12BC7">
        <w:rPr>
          <w:rFonts w:cs="Arial"/>
          <w:sz w:val="24"/>
          <w:szCs w:val="24"/>
        </w:rPr>
        <w:t xml:space="preserve"> and capital receipts of £</w:t>
      </w:r>
      <w:r w:rsidR="0073321C">
        <w:rPr>
          <w:rFonts w:cs="Arial"/>
          <w:sz w:val="24"/>
          <w:szCs w:val="24"/>
        </w:rPr>
        <w:t>2,288</w:t>
      </w:r>
      <w:r w:rsidR="00E12BC7">
        <w:rPr>
          <w:rFonts w:cs="Arial"/>
          <w:sz w:val="24"/>
          <w:szCs w:val="24"/>
        </w:rPr>
        <w:t>.</w:t>
      </w:r>
    </w:p>
    <w:p w:rsidR="00612466" w:rsidRPr="00994E8C" w:rsidRDefault="0086698C" w:rsidP="0086698C">
      <w:pPr>
        <w:ind w:left="720" w:hanging="720"/>
        <w:rPr>
          <w:rFonts w:cs="Arial"/>
          <w:sz w:val="24"/>
          <w:szCs w:val="24"/>
        </w:rPr>
      </w:pPr>
      <w:r>
        <w:rPr>
          <w:rFonts w:cs="Arial"/>
          <w:sz w:val="24"/>
          <w:szCs w:val="24"/>
        </w:rPr>
        <w:t xml:space="preserve"> </w:t>
      </w:r>
    </w:p>
    <w:p w:rsidR="002E5BA2" w:rsidRDefault="00C037CE" w:rsidP="00C037CE">
      <w:pPr>
        <w:ind w:left="720" w:hanging="720"/>
        <w:rPr>
          <w:rFonts w:cs="Arial"/>
          <w:sz w:val="24"/>
          <w:szCs w:val="24"/>
        </w:rPr>
      </w:pPr>
      <w:r>
        <w:rPr>
          <w:rFonts w:cs="Arial"/>
          <w:sz w:val="24"/>
          <w:szCs w:val="24"/>
        </w:rPr>
        <w:t>3.1.</w:t>
      </w:r>
      <w:r w:rsidR="00E12BC7">
        <w:rPr>
          <w:rFonts w:cs="Arial"/>
          <w:sz w:val="24"/>
          <w:szCs w:val="24"/>
        </w:rPr>
        <w:t>8</w:t>
      </w:r>
      <w:r>
        <w:rPr>
          <w:rFonts w:cs="Arial"/>
          <w:sz w:val="24"/>
          <w:szCs w:val="24"/>
        </w:rPr>
        <w:tab/>
      </w:r>
      <w:r w:rsidR="002E5BA2">
        <w:rPr>
          <w:rFonts w:cs="Arial"/>
          <w:sz w:val="24"/>
          <w:szCs w:val="24"/>
        </w:rPr>
        <w:t xml:space="preserve">The </w:t>
      </w:r>
      <w:r w:rsidR="00E12BC7">
        <w:rPr>
          <w:rFonts w:cs="Arial"/>
          <w:sz w:val="24"/>
          <w:szCs w:val="24"/>
        </w:rPr>
        <w:t xml:space="preserve">forecast </w:t>
      </w:r>
      <w:r w:rsidR="002E5BA2" w:rsidRPr="0091374F">
        <w:rPr>
          <w:rFonts w:cs="Arial"/>
          <w:sz w:val="24"/>
          <w:szCs w:val="24"/>
        </w:rPr>
        <w:t xml:space="preserve">figures quoted in this report represent that element of capital expenditure </w:t>
      </w:r>
      <w:r w:rsidR="003E6FB6">
        <w:rPr>
          <w:rFonts w:cs="Arial"/>
          <w:sz w:val="24"/>
          <w:szCs w:val="24"/>
        </w:rPr>
        <w:t>which</w:t>
      </w:r>
      <w:r w:rsidR="002E5BA2" w:rsidRPr="0091374F">
        <w:rPr>
          <w:rFonts w:cs="Arial"/>
          <w:sz w:val="24"/>
          <w:szCs w:val="24"/>
        </w:rPr>
        <w:t xml:space="preserve"> </w:t>
      </w:r>
      <w:r w:rsidR="00E12BC7">
        <w:rPr>
          <w:rFonts w:cs="Arial"/>
          <w:sz w:val="24"/>
          <w:szCs w:val="24"/>
        </w:rPr>
        <w:t xml:space="preserve">is expected to require </w:t>
      </w:r>
      <w:r w:rsidR="002E5BA2" w:rsidRPr="0091374F">
        <w:rPr>
          <w:rFonts w:cs="Arial"/>
          <w:sz w:val="24"/>
          <w:szCs w:val="24"/>
        </w:rPr>
        <w:t>financ</w:t>
      </w:r>
      <w:r w:rsidR="00E12BC7">
        <w:rPr>
          <w:rFonts w:cs="Arial"/>
          <w:sz w:val="24"/>
          <w:szCs w:val="24"/>
        </w:rPr>
        <w:t>ing</w:t>
      </w:r>
      <w:r w:rsidR="002E5BA2" w:rsidRPr="0091374F">
        <w:rPr>
          <w:rFonts w:cs="Arial"/>
          <w:sz w:val="24"/>
          <w:szCs w:val="24"/>
        </w:rPr>
        <w:t xml:space="preserve"> </w:t>
      </w:r>
      <w:r w:rsidR="00E12BC7">
        <w:rPr>
          <w:rFonts w:cs="Arial"/>
          <w:sz w:val="24"/>
          <w:szCs w:val="24"/>
        </w:rPr>
        <w:t>at the end of the</w:t>
      </w:r>
      <w:r w:rsidR="002E5BA2" w:rsidRPr="0091374F">
        <w:rPr>
          <w:rFonts w:cs="Arial"/>
          <w:sz w:val="24"/>
          <w:szCs w:val="24"/>
        </w:rPr>
        <w:t xml:space="preserve"> 201</w:t>
      </w:r>
      <w:r w:rsidR="00E12BC7">
        <w:rPr>
          <w:rFonts w:cs="Arial"/>
          <w:sz w:val="24"/>
          <w:szCs w:val="24"/>
        </w:rPr>
        <w:t>8</w:t>
      </w:r>
      <w:r w:rsidR="002E5BA2" w:rsidRPr="0091374F">
        <w:rPr>
          <w:rFonts w:cs="Arial"/>
          <w:sz w:val="24"/>
          <w:szCs w:val="24"/>
        </w:rPr>
        <w:t>/201</w:t>
      </w:r>
      <w:r w:rsidR="00E12BC7">
        <w:rPr>
          <w:rFonts w:cs="Arial"/>
          <w:sz w:val="24"/>
          <w:szCs w:val="24"/>
        </w:rPr>
        <w:t>9</w:t>
      </w:r>
      <w:r w:rsidR="002E5BA2" w:rsidRPr="0091374F">
        <w:rPr>
          <w:rFonts w:cs="Arial"/>
          <w:sz w:val="24"/>
          <w:szCs w:val="24"/>
        </w:rPr>
        <w:t xml:space="preserve"> financial year, using </w:t>
      </w:r>
      <w:r w:rsidR="007E0B9B">
        <w:rPr>
          <w:rFonts w:cs="Arial"/>
          <w:sz w:val="24"/>
          <w:szCs w:val="24"/>
        </w:rPr>
        <w:t xml:space="preserve">the </w:t>
      </w:r>
      <w:r w:rsidR="002E5BA2" w:rsidRPr="0091374F">
        <w:rPr>
          <w:rFonts w:cs="Arial"/>
          <w:sz w:val="24"/>
          <w:szCs w:val="24"/>
        </w:rPr>
        <w:t xml:space="preserve">major repairs </w:t>
      </w:r>
      <w:r w:rsidR="007E0B9B">
        <w:rPr>
          <w:rFonts w:cs="Arial"/>
          <w:sz w:val="24"/>
          <w:szCs w:val="24"/>
        </w:rPr>
        <w:t>reserve</w:t>
      </w:r>
      <w:r w:rsidR="002E5BA2" w:rsidRPr="0091374F">
        <w:rPr>
          <w:rFonts w:cs="Arial"/>
          <w:sz w:val="24"/>
          <w:szCs w:val="24"/>
        </w:rPr>
        <w:t>, capital receipts, contributions from reserves, grants and other contributions</w:t>
      </w:r>
      <w:r w:rsidR="002E5BA2">
        <w:rPr>
          <w:rFonts w:cs="Arial"/>
          <w:sz w:val="24"/>
          <w:szCs w:val="24"/>
        </w:rPr>
        <w:t>.</w:t>
      </w:r>
      <w:r w:rsidR="007E0B9B">
        <w:rPr>
          <w:rFonts w:cs="Arial"/>
          <w:sz w:val="24"/>
          <w:szCs w:val="24"/>
        </w:rPr>
        <w:t xml:space="preserve"> </w:t>
      </w:r>
      <w:r w:rsidR="009161AD">
        <w:rPr>
          <w:rFonts w:cs="Arial"/>
          <w:sz w:val="24"/>
          <w:szCs w:val="24"/>
        </w:rPr>
        <w:t xml:space="preserve"> </w:t>
      </w:r>
      <w:r w:rsidR="006501FF">
        <w:rPr>
          <w:rFonts w:cs="Arial"/>
          <w:sz w:val="24"/>
          <w:szCs w:val="24"/>
        </w:rPr>
        <w:t xml:space="preserve">Table </w:t>
      </w:r>
      <w:r w:rsidR="006853CF">
        <w:rPr>
          <w:rFonts w:cs="Arial"/>
          <w:sz w:val="24"/>
          <w:szCs w:val="24"/>
        </w:rPr>
        <w:t>5</w:t>
      </w:r>
      <w:r w:rsidR="009B335D">
        <w:rPr>
          <w:rFonts w:cs="Arial"/>
          <w:sz w:val="24"/>
          <w:szCs w:val="24"/>
        </w:rPr>
        <w:t xml:space="preserve"> shows the approved sources of financing</w:t>
      </w:r>
      <w:r w:rsidR="00674631">
        <w:rPr>
          <w:rFonts w:cs="Arial"/>
          <w:sz w:val="24"/>
          <w:szCs w:val="24"/>
        </w:rPr>
        <w:t xml:space="preserve"> should the 201</w:t>
      </w:r>
      <w:r w:rsidR="00E12BC7">
        <w:rPr>
          <w:rFonts w:cs="Arial"/>
          <w:sz w:val="24"/>
          <w:szCs w:val="24"/>
        </w:rPr>
        <w:t>8</w:t>
      </w:r>
      <w:r w:rsidR="00674631">
        <w:rPr>
          <w:rFonts w:cs="Arial"/>
          <w:sz w:val="24"/>
          <w:szCs w:val="24"/>
        </w:rPr>
        <w:t>/201</w:t>
      </w:r>
      <w:r w:rsidR="00E12BC7">
        <w:rPr>
          <w:rFonts w:cs="Arial"/>
          <w:sz w:val="24"/>
          <w:szCs w:val="24"/>
        </w:rPr>
        <w:t>9</w:t>
      </w:r>
      <w:r w:rsidR="00674631">
        <w:rPr>
          <w:rFonts w:cs="Arial"/>
          <w:sz w:val="24"/>
          <w:szCs w:val="24"/>
        </w:rPr>
        <w:t xml:space="preserve"> capital budgets be spent</w:t>
      </w:r>
      <w:r w:rsidR="0023346C">
        <w:rPr>
          <w:rFonts w:cs="Arial"/>
          <w:sz w:val="24"/>
          <w:szCs w:val="24"/>
        </w:rPr>
        <w:t xml:space="preserve"> as currently forecast.</w:t>
      </w:r>
    </w:p>
    <w:p w:rsidR="006501FF" w:rsidRDefault="006501FF" w:rsidP="00C037CE">
      <w:pPr>
        <w:ind w:left="720" w:hanging="720"/>
        <w:rPr>
          <w:noProof/>
        </w:rPr>
      </w:pPr>
      <w:r>
        <w:rPr>
          <w:sz w:val="20"/>
          <w:szCs w:val="20"/>
        </w:rPr>
        <w:tab/>
      </w:r>
    </w:p>
    <w:p w:rsidR="00115E51" w:rsidRDefault="00115E51" w:rsidP="00C037CE">
      <w:pPr>
        <w:ind w:left="720" w:hanging="720"/>
        <w:rPr>
          <w:rFonts w:cs="Arial"/>
          <w:sz w:val="24"/>
          <w:szCs w:val="24"/>
        </w:rPr>
      </w:pPr>
      <w:r>
        <w:rPr>
          <w:noProof/>
        </w:rPr>
        <w:lastRenderedPageBreak/>
        <w:tab/>
      </w:r>
      <w:r w:rsidR="0073321C" w:rsidRPr="0073321C">
        <w:rPr>
          <w:noProof/>
        </w:rPr>
        <w:drawing>
          <wp:inline distT="0" distB="0" distL="0" distR="0">
            <wp:extent cx="2679700" cy="45802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0" cy="4580255"/>
                    </a:xfrm>
                    <a:prstGeom prst="rect">
                      <a:avLst/>
                    </a:prstGeom>
                    <a:noFill/>
                    <a:ln>
                      <a:noFill/>
                    </a:ln>
                  </pic:spPr>
                </pic:pic>
              </a:graphicData>
            </a:graphic>
          </wp:inline>
        </w:drawing>
      </w:r>
    </w:p>
    <w:p w:rsidR="006501FF" w:rsidRDefault="006501FF" w:rsidP="00C037CE">
      <w:pPr>
        <w:ind w:left="720" w:hanging="720"/>
        <w:rPr>
          <w:rFonts w:cs="Arial"/>
          <w:sz w:val="24"/>
          <w:szCs w:val="24"/>
        </w:rPr>
      </w:pPr>
    </w:p>
    <w:p w:rsidR="000E0E56" w:rsidRDefault="000E0E56" w:rsidP="00C037CE">
      <w:pPr>
        <w:ind w:left="720" w:hanging="720"/>
        <w:rPr>
          <w:rFonts w:cs="Arial"/>
          <w:sz w:val="24"/>
          <w:szCs w:val="24"/>
        </w:rPr>
      </w:pPr>
      <w:r>
        <w:rPr>
          <w:rFonts w:cs="Arial"/>
          <w:sz w:val="24"/>
          <w:szCs w:val="24"/>
        </w:rPr>
        <w:t>3.1.</w:t>
      </w:r>
      <w:r w:rsidR="0028148B">
        <w:rPr>
          <w:rFonts w:cs="Arial"/>
          <w:sz w:val="24"/>
          <w:szCs w:val="24"/>
        </w:rPr>
        <w:t>9</w:t>
      </w:r>
      <w:r>
        <w:rPr>
          <w:rFonts w:cs="Arial"/>
          <w:sz w:val="24"/>
          <w:szCs w:val="24"/>
        </w:rPr>
        <w:tab/>
      </w:r>
      <w:r w:rsidR="009161AD">
        <w:rPr>
          <w:rFonts w:cs="Arial"/>
          <w:sz w:val="24"/>
          <w:szCs w:val="24"/>
        </w:rPr>
        <w:t xml:space="preserve">Total expenditure on the </w:t>
      </w:r>
      <w:r w:rsidR="004358C2">
        <w:rPr>
          <w:rFonts w:cs="Arial"/>
          <w:sz w:val="24"/>
          <w:szCs w:val="24"/>
        </w:rPr>
        <w:t xml:space="preserve">General Fund schemes in the capital programme </w:t>
      </w:r>
      <w:r w:rsidR="009161AD">
        <w:rPr>
          <w:rFonts w:cs="Arial"/>
          <w:sz w:val="24"/>
          <w:szCs w:val="24"/>
        </w:rPr>
        <w:t xml:space="preserve">is currently forecast to </w:t>
      </w:r>
      <w:r w:rsidR="004358C2">
        <w:rPr>
          <w:rFonts w:cs="Arial"/>
          <w:sz w:val="24"/>
          <w:szCs w:val="24"/>
        </w:rPr>
        <w:t>total £</w:t>
      </w:r>
      <w:r w:rsidR="0028148B">
        <w:rPr>
          <w:rFonts w:cs="Arial"/>
          <w:sz w:val="24"/>
          <w:szCs w:val="24"/>
        </w:rPr>
        <w:t>3</w:t>
      </w:r>
      <w:r w:rsidR="0073321C">
        <w:rPr>
          <w:rFonts w:cs="Arial"/>
          <w:sz w:val="24"/>
          <w:szCs w:val="24"/>
        </w:rPr>
        <w:t>7</w:t>
      </w:r>
      <w:r w:rsidR="00A340EA">
        <w:rPr>
          <w:rFonts w:cs="Arial"/>
          <w:sz w:val="24"/>
          <w:szCs w:val="24"/>
        </w:rPr>
        <w:t>,</w:t>
      </w:r>
      <w:r w:rsidR="00816146">
        <w:rPr>
          <w:rFonts w:cs="Arial"/>
          <w:sz w:val="24"/>
          <w:szCs w:val="24"/>
        </w:rPr>
        <w:t>5</w:t>
      </w:r>
      <w:r w:rsidR="0073321C">
        <w:rPr>
          <w:rFonts w:cs="Arial"/>
          <w:sz w:val="24"/>
          <w:szCs w:val="24"/>
        </w:rPr>
        <w:t>74,0</w:t>
      </w:r>
      <w:r w:rsidR="00A340EA">
        <w:rPr>
          <w:rFonts w:cs="Arial"/>
          <w:sz w:val="24"/>
          <w:szCs w:val="24"/>
        </w:rPr>
        <w:t>00</w:t>
      </w:r>
      <w:r w:rsidR="004358C2">
        <w:rPr>
          <w:rFonts w:cs="Arial"/>
          <w:sz w:val="24"/>
          <w:szCs w:val="24"/>
        </w:rPr>
        <w:t>. Th</w:t>
      </w:r>
      <w:r w:rsidR="0023346C">
        <w:rPr>
          <w:rFonts w:cs="Arial"/>
          <w:sz w:val="24"/>
          <w:szCs w:val="24"/>
        </w:rPr>
        <w:t>e forecast financing includes</w:t>
      </w:r>
      <w:r w:rsidR="002A580E">
        <w:rPr>
          <w:rFonts w:cs="Arial"/>
          <w:sz w:val="24"/>
          <w:szCs w:val="24"/>
        </w:rPr>
        <w:t xml:space="preserve"> borrowing of</w:t>
      </w:r>
      <w:r w:rsidR="0023346C">
        <w:rPr>
          <w:rFonts w:cs="Arial"/>
          <w:sz w:val="24"/>
          <w:szCs w:val="24"/>
        </w:rPr>
        <w:t xml:space="preserve"> £</w:t>
      </w:r>
      <w:r w:rsidR="0028148B">
        <w:rPr>
          <w:rFonts w:cs="Arial"/>
          <w:sz w:val="24"/>
          <w:szCs w:val="24"/>
        </w:rPr>
        <w:t>30,478</w:t>
      </w:r>
      <w:r w:rsidR="002A580E">
        <w:rPr>
          <w:rFonts w:cs="Arial"/>
          <w:sz w:val="24"/>
          <w:szCs w:val="24"/>
        </w:rPr>
        <w:t>,000</w:t>
      </w:r>
      <w:r w:rsidR="0028148B">
        <w:rPr>
          <w:rFonts w:cs="Arial"/>
          <w:sz w:val="24"/>
          <w:szCs w:val="24"/>
        </w:rPr>
        <w:t>.  This being fo</w:t>
      </w:r>
      <w:r w:rsidR="002A580E">
        <w:rPr>
          <w:rFonts w:cs="Arial"/>
          <w:sz w:val="24"/>
          <w:szCs w:val="24"/>
        </w:rPr>
        <w:t xml:space="preserve">r </w:t>
      </w:r>
      <w:r w:rsidR="004358C2">
        <w:rPr>
          <w:rFonts w:cs="Arial"/>
          <w:sz w:val="24"/>
          <w:szCs w:val="24"/>
        </w:rPr>
        <w:t>the Housing Company</w:t>
      </w:r>
      <w:r w:rsidR="0028148B">
        <w:rPr>
          <w:rFonts w:cs="Arial"/>
          <w:sz w:val="24"/>
          <w:szCs w:val="24"/>
        </w:rPr>
        <w:t xml:space="preserve"> (£5,954,000) and the acquisition of an investment property (£24,523,000).</w:t>
      </w:r>
    </w:p>
    <w:p w:rsidR="009A7941" w:rsidRDefault="009A7941" w:rsidP="00C037CE">
      <w:pPr>
        <w:ind w:left="720" w:hanging="720"/>
        <w:rPr>
          <w:rFonts w:cs="Arial"/>
          <w:sz w:val="24"/>
          <w:szCs w:val="24"/>
        </w:rPr>
      </w:pPr>
    </w:p>
    <w:p w:rsidR="009A7941" w:rsidRDefault="009A7941" w:rsidP="00C037CE">
      <w:pPr>
        <w:ind w:left="720" w:hanging="720"/>
        <w:rPr>
          <w:rFonts w:cs="Arial"/>
          <w:sz w:val="24"/>
          <w:szCs w:val="24"/>
        </w:rPr>
      </w:pPr>
      <w:r>
        <w:rPr>
          <w:rFonts w:cs="Arial"/>
          <w:sz w:val="24"/>
          <w:szCs w:val="24"/>
        </w:rPr>
        <w:t>3.1.</w:t>
      </w:r>
      <w:r w:rsidR="0086698C">
        <w:rPr>
          <w:rFonts w:cs="Arial"/>
          <w:sz w:val="24"/>
          <w:szCs w:val="24"/>
        </w:rPr>
        <w:t>1</w:t>
      </w:r>
      <w:r w:rsidR="0028148B">
        <w:rPr>
          <w:rFonts w:cs="Arial"/>
          <w:sz w:val="24"/>
          <w:szCs w:val="24"/>
        </w:rPr>
        <w:t>0</w:t>
      </w:r>
      <w:r>
        <w:rPr>
          <w:rFonts w:cs="Arial"/>
          <w:sz w:val="24"/>
          <w:szCs w:val="24"/>
        </w:rPr>
        <w:t xml:space="preserve">Grant </w:t>
      </w:r>
      <w:r w:rsidR="00D96600">
        <w:rPr>
          <w:rFonts w:cs="Arial"/>
          <w:sz w:val="24"/>
          <w:szCs w:val="24"/>
        </w:rPr>
        <w:t>and contributions</w:t>
      </w:r>
      <w:r>
        <w:rPr>
          <w:rFonts w:cs="Arial"/>
          <w:sz w:val="24"/>
          <w:szCs w:val="24"/>
        </w:rPr>
        <w:t xml:space="preserve"> is to finance, £</w:t>
      </w:r>
      <w:r w:rsidR="0028148B">
        <w:rPr>
          <w:rFonts w:cs="Arial"/>
          <w:sz w:val="24"/>
          <w:szCs w:val="24"/>
        </w:rPr>
        <w:t>1</w:t>
      </w:r>
      <w:r w:rsidR="00A340EA">
        <w:rPr>
          <w:rFonts w:cs="Arial"/>
          <w:sz w:val="24"/>
          <w:szCs w:val="24"/>
        </w:rPr>
        <w:t>,</w:t>
      </w:r>
      <w:r w:rsidR="0028148B">
        <w:rPr>
          <w:rFonts w:cs="Arial"/>
          <w:sz w:val="24"/>
          <w:szCs w:val="24"/>
        </w:rPr>
        <w:t>78</w:t>
      </w:r>
      <w:r w:rsidR="00104F3A">
        <w:rPr>
          <w:rFonts w:cs="Arial"/>
          <w:sz w:val="24"/>
          <w:szCs w:val="24"/>
        </w:rPr>
        <w:t>0</w:t>
      </w:r>
      <w:r w:rsidR="00A340EA">
        <w:rPr>
          <w:rFonts w:cs="Arial"/>
          <w:sz w:val="24"/>
          <w:szCs w:val="24"/>
        </w:rPr>
        <w:t>,000</w:t>
      </w:r>
      <w:r>
        <w:rPr>
          <w:rFonts w:cs="Arial"/>
          <w:sz w:val="24"/>
          <w:szCs w:val="24"/>
        </w:rPr>
        <w:t xml:space="preserve"> of General Fund capital spending</w:t>
      </w:r>
      <w:r w:rsidR="00776F03">
        <w:rPr>
          <w:rFonts w:cs="Arial"/>
          <w:sz w:val="24"/>
          <w:szCs w:val="24"/>
        </w:rPr>
        <w:t>,</w:t>
      </w:r>
      <w:r>
        <w:rPr>
          <w:rFonts w:cs="Arial"/>
          <w:sz w:val="24"/>
          <w:szCs w:val="24"/>
        </w:rPr>
        <w:t xml:space="preserve"> £</w:t>
      </w:r>
      <w:r w:rsidR="0028148B">
        <w:rPr>
          <w:rFonts w:cs="Arial"/>
          <w:sz w:val="24"/>
          <w:szCs w:val="24"/>
        </w:rPr>
        <w:t>195</w:t>
      </w:r>
      <w:r w:rsidR="00A340EA">
        <w:rPr>
          <w:rFonts w:cs="Arial"/>
          <w:sz w:val="24"/>
          <w:szCs w:val="24"/>
        </w:rPr>
        <w:t xml:space="preserve">,000 </w:t>
      </w:r>
      <w:r w:rsidR="00776F03">
        <w:rPr>
          <w:rFonts w:cs="Arial"/>
          <w:sz w:val="24"/>
          <w:szCs w:val="24"/>
        </w:rPr>
        <w:t xml:space="preserve">of this </w:t>
      </w:r>
      <w:r w:rsidR="00D96600">
        <w:rPr>
          <w:rFonts w:cs="Arial"/>
          <w:sz w:val="24"/>
          <w:szCs w:val="24"/>
        </w:rPr>
        <w:t>is still to be received in this financial</w:t>
      </w:r>
      <w:r w:rsidR="00D06470">
        <w:rPr>
          <w:rFonts w:cs="Arial"/>
          <w:sz w:val="24"/>
          <w:szCs w:val="24"/>
        </w:rPr>
        <w:t xml:space="preserve"> year. </w:t>
      </w:r>
    </w:p>
    <w:p w:rsidR="009A7941" w:rsidRDefault="009A7941" w:rsidP="00C037CE">
      <w:pPr>
        <w:ind w:left="720" w:hanging="720"/>
        <w:rPr>
          <w:rFonts w:cs="Arial"/>
          <w:sz w:val="24"/>
          <w:szCs w:val="24"/>
        </w:rPr>
      </w:pPr>
    </w:p>
    <w:p w:rsidR="009A7941" w:rsidRDefault="00BC5084" w:rsidP="00C037CE">
      <w:pPr>
        <w:ind w:left="720" w:hanging="720"/>
        <w:rPr>
          <w:rFonts w:cs="Arial"/>
          <w:sz w:val="24"/>
          <w:szCs w:val="24"/>
        </w:rPr>
      </w:pPr>
      <w:r>
        <w:rPr>
          <w:rFonts w:cs="Arial"/>
          <w:sz w:val="24"/>
          <w:szCs w:val="24"/>
        </w:rPr>
        <w:t>3.1.</w:t>
      </w:r>
      <w:r w:rsidR="0086698C">
        <w:rPr>
          <w:rFonts w:cs="Arial"/>
          <w:sz w:val="24"/>
          <w:szCs w:val="24"/>
        </w:rPr>
        <w:t>1</w:t>
      </w:r>
      <w:r w:rsidR="0028148B">
        <w:rPr>
          <w:rFonts w:cs="Arial"/>
          <w:sz w:val="24"/>
          <w:szCs w:val="24"/>
        </w:rPr>
        <w:t>1</w:t>
      </w:r>
      <w:r w:rsidR="009A7941">
        <w:rPr>
          <w:rFonts w:cs="Arial"/>
          <w:sz w:val="24"/>
          <w:szCs w:val="24"/>
        </w:rPr>
        <w:t xml:space="preserve">The financing in </w:t>
      </w:r>
      <w:r w:rsidR="006501FF">
        <w:rPr>
          <w:rFonts w:cs="Arial"/>
          <w:sz w:val="24"/>
          <w:szCs w:val="24"/>
        </w:rPr>
        <w:t xml:space="preserve">table </w:t>
      </w:r>
      <w:r w:rsidR="00B2241C">
        <w:rPr>
          <w:rFonts w:cs="Arial"/>
          <w:sz w:val="24"/>
          <w:szCs w:val="24"/>
        </w:rPr>
        <w:t>5</w:t>
      </w:r>
      <w:r w:rsidR="009A7941">
        <w:rPr>
          <w:rFonts w:cs="Arial"/>
          <w:sz w:val="24"/>
          <w:szCs w:val="24"/>
        </w:rPr>
        <w:t xml:space="preserve"> includes £</w:t>
      </w:r>
      <w:r w:rsidR="009161AD">
        <w:rPr>
          <w:rFonts w:cs="Arial"/>
          <w:sz w:val="24"/>
          <w:szCs w:val="24"/>
        </w:rPr>
        <w:t>2,</w:t>
      </w:r>
      <w:r w:rsidR="00104F3A">
        <w:rPr>
          <w:rFonts w:cs="Arial"/>
          <w:sz w:val="24"/>
          <w:szCs w:val="24"/>
        </w:rPr>
        <w:t>866</w:t>
      </w:r>
      <w:r w:rsidR="009A7941">
        <w:rPr>
          <w:rFonts w:cs="Arial"/>
          <w:sz w:val="24"/>
          <w:szCs w:val="24"/>
        </w:rPr>
        <w:t xml:space="preserve">,000 to </w:t>
      </w:r>
      <w:r w:rsidR="00314DA7">
        <w:rPr>
          <w:rFonts w:cs="Arial"/>
          <w:sz w:val="24"/>
          <w:szCs w:val="24"/>
        </w:rPr>
        <w:t xml:space="preserve">be funded from capital receipts.  </w:t>
      </w:r>
      <w:r w:rsidR="009A7941">
        <w:rPr>
          <w:rFonts w:cs="Arial"/>
          <w:sz w:val="24"/>
          <w:szCs w:val="24"/>
        </w:rPr>
        <w:t>The capital programme is therefore reliant on achieving targeted capital receipts to reduce any requirement to borrow. So far in 2</w:t>
      </w:r>
      <w:r w:rsidR="00A340EA">
        <w:rPr>
          <w:rFonts w:cs="Arial"/>
          <w:sz w:val="24"/>
          <w:szCs w:val="24"/>
        </w:rPr>
        <w:t>01</w:t>
      </w:r>
      <w:r w:rsidR="0028148B">
        <w:rPr>
          <w:rFonts w:cs="Arial"/>
          <w:sz w:val="24"/>
          <w:szCs w:val="24"/>
        </w:rPr>
        <w:t>8</w:t>
      </w:r>
      <w:r w:rsidR="00A340EA">
        <w:rPr>
          <w:rFonts w:cs="Arial"/>
          <w:sz w:val="24"/>
          <w:szCs w:val="24"/>
        </w:rPr>
        <w:t>/201</w:t>
      </w:r>
      <w:r w:rsidR="0028148B">
        <w:rPr>
          <w:rFonts w:cs="Arial"/>
          <w:sz w:val="24"/>
          <w:szCs w:val="24"/>
        </w:rPr>
        <w:t>9</w:t>
      </w:r>
      <w:r w:rsidR="00A340EA">
        <w:rPr>
          <w:rFonts w:cs="Arial"/>
          <w:sz w:val="24"/>
          <w:szCs w:val="24"/>
        </w:rPr>
        <w:t xml:space="preserve"> capital receipts of £</w:t>
      </w:r>
      <w:r w:rsidR="0028148B">
        <w:rPr>
          <w:rFonts w:cs="Arial"/>
          <w:sz w:val="24"/>
          <w:szCs w:val="24"/>
        </w:rPr>
        <w:t>735</w:t>
      </w:r>
      <w:r w:rsidR="00A340EA">
        <w:rPr>
          <w:rFonts w:cs="Arial"/>
          <w:sz w:val="24"/>
          <w:szCs w:val="24"/>
        </w:rPr>
        <w:t>,000</w:t>
      </w:r>
      <w:r w:rsidR="009A7941">
        <w:rPr>
          <w:rFonts w:cs="Arial"/>
          <w:sz w:val="24"/>
          <w:szCs w:val="24"/>
        </w:rPr>
        <w:t xml:space="preserve"> have been generated from auction</w:t>
      </w:r>
      <w:r w:rsidR="00F627A6">
        <w:rPr>
          <w:rFonts w:cs="Arial"/>
          <w:sz w:val="24"/>
          <w:szCs w:val="24"/>
        </w:rPr>
        <w:t xml:space="preserve"> sales of commercial properties, the Commercial Property acquisition budget has been increased to allow these funds to </w:t>
      </w:r>
      <w:r w:rsidR="009A7941">
        <w:rPr>
          <w:rFonts w:cs="Arial"/>
          <w:sz w:val="24"/>
          <w:szCs w:val="24"/>
        </w:rPr>
        <w:t>purchase a further commercial property</w:t>
      </w:r>
      <w:r w:rsidR="00776F03">
        <w:rPr>
          <w:rFonts w:cs="Arial"/>
          <w:sz w:val="24"/>
          <w:szCs w:val="24"/>
        </w:rPr>
        <w:t xml:space="preserve">, </w:t>
      </w:r>
      <w:r w:rsidR="00D06470">
        <w:rPr>
          <w:rFonts w:cs="Arial"/>
          <w:sz w:val="24"/>
          <w:szCs w:val="24"/>
        </w:rPr>
        <w:t>in addition to this a capital receipt of £2</w:t>
      </w:r>
      <w:r w:rsidR="0028148B">
        <w:rPr>
          <w:rFonts w:cs="Arial"/>
          <w:sz w:val="24"/>
          <w:szCs w:val="24"/>
        </w:rPr>
        <w:t>,300</w:t>
      </w:r>
      <w:r w:rsidR="00D06470">
        <w:rPr>
          <w:rFonts w:cs="Arial"/>
          <w:sz w:val="24"/>
          <w:szCs w:val="24"/>
        </w:rPr>
        <w:t xml:space="preserve">,000 </w:t>
      </w:r>
      <w:r w:rsidR="0028148B">
        <w:rPr>
          <w:rFonts w:cs="Arial"/>
          <w:sz w:val="24"/>
          <w:szCs w:val="24"/>
        </w:rPr>
        <w:t>is expected from the sale of Crown Farm</w:t>
      </w:r>
      <w:r w:rsidR="00D06470">
        <w:rPr>
          <w:rFonts w:cs="Arial"/>
          <w:sz w:val="24"/>
          <w:szCs w:val="24"/>
        </w:rPr>
        <w:t>.</w:t>
      </w:r>
    </w:p>
    <w:p w:rsidR="000E0E56" w:rsidRDefault="000E0E56" w:rsidP="00C037CE">
      <w:pPr>
        <w:ind w:left="720" w:hanging="720"/>
        <w:rPr>
          <w:rFonts w:cs="Arial"/>
          <w:sz w:val="24"/>
          <w:szCs w:val="24"/>
        </w:rPr>
      </w:pPr>
    </w:p>
    <w:p w:rsidR="000E0E56" w:rsidRDefault="000E0E56" w:rsidP="00C037CE">
      <w:pPr>
        <w:ind w:left="720" w:hanging="720"/>
        <w:rPr>
          <w:rFonts w:cs="Arial"/>
          <w:sz w:val="24"/>
          <w:szCs w:val="24"/>
        </w:rPr>
      </w:pPr>
      <w:r>
        <w:rPr>
          <w:rFonts w:cs="Arial"/>
          <w:sz w:val="24"/>
          <w:szCs w:val="24"/>
        </w:rPr>
        <w:t>3.1.</w:t>
      </w:r>
      <w:r w:rsidR="00BC5084">
        <w:rPr>
          <w:rFonts w:cs="Arial"/>
          <w:sz w:val="24"/>
          <w:szCs w:val="24"/>
        </w:rPr>
        <w:t>1</w:t>
      </w:r>
      <w:r w:rsidR="004350F7">
        <w:rPr>
          <w:rFonts w:cs="Arial"/>
          <w:sz w:val="24"/>
          <w:szCs w:val="24"/>
        </w:rPr>
        <w:t>2</w:t>
      </w:r>
      <w:r>
        <w:rPr>
          <w:rFonts w:cs="Arial"/>
          <w:sz w:val="24"/>
          <w:szCs w:val="24"/>
        </w:rPr>
        <w:tab/>
        <w:t>The 201</w:t>
      </w:r>
      <w:r w:rsidR="004350F7">
        <w:rPr>
          <w:rFonts w:cs="Arial"/>
          <w:sz w:val="24"/>
          <w:szCs w:val="24"/>
        </w:rPr>
        <w:t>8</w:t>
      </w:r>
      <w:r>
        <w:rPr>
          <w:rFonts w:cs="Arial"/>
          <w:sz w:val="24"/>
          <w:szCs w:val="24"/>
        </w:rPr>
        <w:t>/201</w:t>
      </w:r>
      <w:r w:rsidR="004350F7">
        <w:rPr>
          <w:rFonts w:cs="Arial"/>
          <w:sz w:val="24"/>
          <w:szCs w:val="24"/>
        </w:rPr>
        <w:t>9</w:t>
      </w:r>
      <w:r>
        <w:rPr>
          <w:rFonts w:cs="Arial"/>
          <w:sz w:val="24"/>
          <w:szCs w:val="24"/>
        </w:rPr>
        <w:t xml:space="preserve"> HRA capital programme is currently </w:t>
      </w:r>
      <w:r w:rsidR="00E131E2">
        <w:rPr>
          <w:rFonts w:cs="Arial"/>
          <w:sz w:val="24"/>
          <w:szCs w:val="24"/>
        </w:rPr>
        <w:t xml:space="preserve">forecast to spend </w:t>
      </w:r>
      <w:r>
        <w:rPr>
          <w:rFonts w:cs="Arial"/>
          <w:sz w:val="24"/>
          <w:szCs w:val="24"/>
        </w:rPr>
        <w:t>£</w:t>
      </w:r>
      <w:r w:rsidR="0028148B">
        <w:rPr>
          <w:rFonts w:cs="Arial"/>
          <w:sz w:val="24"/>
          <w:szCs w:val="24"/>
        </w:rPr>
        <w:t>5</w:t>
      </w:r>
      <w:r w:rsidR="00A340EA">
        <w:rPr>
          <w:rFonts w:cs="Arial"/>
          <w:sz w:val="24"/>
          <w:szCs w:val="24"/>
        </w:rPr>
        <w:t>,</w:t>
      </w:r>
      <w:r w:rsidR="0028148B">
        <w:rPr>
          <w:rFonts w:cs="Arial"/>
          <w:sz w:val="24"/>
          <w:szCs w:val="24"/>
        </w:rPr>
        <w:t>948</w:t>
      </w:r>
      <w:r w:rsidR="00A340EA">
        <w:rPr>
          <w:rFonts w:cs="Arial"/>
          <w:sz w:val="24"/>
          <w:szCs w:val="24"/>
        </w:rPr>
        <w:t>,000</w:t>
      </w:r>
      <w:r>
        <w:rPr>
          <w:rFonts w:cs="Arial"/>
          <w:sz w:val="24"/>
          <w:szCs w:val="24"/>
        </w:rPr>
        <w:t>. The financing of the HRA schemes includes £580,000 in grant funding to be received.  However</w:t>
      </w:r>
      <w:r w:rsidR="00A340EA">
        <w:rPr>
          <w:rFonts w:cs="Arial"/>
          <w:sz w:val="24"/>
          <w:szCs w:val="24"/>
        </w:rPr>
        <w:t>,</w:t>
      </w:r>
      <w:r>
        <w:rPr>
          <w:rFonts w:cs="Arial"/>
          <w:sz w:val="24"/>
          <w:szCs w:val="24"/>
        </w:rPr>
        <w:t xml:space="preserve"> should this funding not be received in 201</w:t>
      </w:r>
      <w:r w:rsidR="004350F7">
        <w:rPr>
          <w:rFonts w:cs="Arial"/>
          <w:sz w:val="24"/>
          <w:szCs w:val="24"/>
        </w:rPr>
        <w:t>8</w:t>
      </w:r>
      <w:r>
        <w:rPr>
          <w:rFonts w:cs="Arial"/>
          <w:sz w:val="24"/>
          <w:szCs w:val="24"/>
        </w:rPr>
        <w:t>/201</w:t>
      </w:r>
      <w:r w:rsidR="004350F7">
        <w:rPr>
          <w:rFonts w:cs="Arial"/>
          <w:sz w:val="24"/>
          <w:szCs w:val="24"/>
        </w:rPr>
        <w:t>9</w:t>
      </w:r>
      <w:r>
        <w:rPr>
          <w:rFonts w:cs="Arial"/>
          <w:sz w:val="24"/>
          <w:szCs w:val="24"/>
        </w:rPr>
        <w:t xml:space="preserve"> the HRA does currently have sufficient resources in place to fully fund the capital programme.</w:t>
      </w:r>
    </w:p>
    <w:p w:rsidR="004350F7" w:rsidRDefault="004350F7" w:rsidP="00C037CE">
      <w:pPr>
        <w:ind w:left="720" w:hanging="720"/>
        <w:rPr>
          <w:rFonts w:cs="Arial"/>
          <w:sz w:val="24"/>
          <w:szCs w:val="24"/>
        </w:rPr>
      </w:pPr>
    </w:p>
    <w:p w:rsidR="00413B1F" w:rsidRDefault="00413B1F" w:rsidP="00413B1F">
      <w:pPr>
        <w:rPr>
          <w:rFonts w:cs="Arial"/>
          <w:b/>
          <w:sz w:val="24"/>
          <w:szCs w:val="24"/>
        </w:rPr>
      </w:pPr>
      <w:r>
        <w:rPr>
          <w:rFonts w:cs="Arial"/>
          <w:b/>
          <w:sz w:val="24"/>
          <w:szCs w:val="24"/>
        </w:rPr>
        <w:lastRenderedPageBreak/>
        <w:t>4.</w:t>
      </w:r>
      <w:r>
        <w:rPr>
          <w:rFonts w:cs="Arial"/>
          <w:b/>
          <w:sz w:val="24"/>
          <w:szCs w:val="24"/>
        </w:rPr>
        <w:tab/>
        <w:t>OPTIONS AVAILABLE</w:t>
      </w:r>
    </w:p>
    <w:p w:rsidR="00413B1F" w:rsidRDefault="00413B1F" w:rsidP="00413B1F">
      <w:pPr>
        <w:rPr>
          <w:rFonts w:cs="Arial"/>
          <w:sz w:val="24"/>
          <w:szCs w:val="24"/>
        </w:rPr>
      </w:pPr>
    </w:p>
    <w:p w:rsidR="00413B1F" w:rsidRDefault="00413B1F" w:rsidP="00542174">
      <w:pPr>
        <w:numPr>
          <w:ilvl w:val="2"/>
          <w:numId w:val="17"/>
        </w:numPr>
        <w:rPr>
          <w:rFonts w:cs="Arial"/>
          <w:sz w:val="24"/>
          <w:szCs w:val="24"/>
        </w:rPr>
      </w:pPr>
      <w:r>
        <w:rPr>
          <w:rFonts w:cs="Arial"/>
          <w:sz w:val="24"/>
          <w:szCs w:val="24"/>
        </w:rPr>
        <w:t>Members may choose not to approve the amendments to the capital programme set out in this report.</w:t>
      </w:r>
    </w:p>
    <w:p w:rsidR="00BE3437" w:rsidRDefault="00BE3437" w:rsidP="00413B1F">
      <w:pPr>
        <w:rPr>
          <w:rFonts w:cs="Arial"/>
          <w:sz w:val="24"/>
          <w:szCs w:val="24"/>
        </w:rPr>
      </w:pPr>
    </w:p>
    <w:p w:rsidR="00CA6D08" w:rsidRDefault="00CA6D08" w:rsidP="00413B1F">
      <w:pPr>
        <w:rPr>
          <w:rFonts w:cs="Arial"/>
          <w:sz w:val="24"/>
          <w:szCs w:val="24"/>
        </w:rPr>
      </w:pPr>
    </w:p>
    <w:p w:rsidR="00413B1F" w:rsidRDefault="00413B1F" w:rsidP="00413B1F">
      <w:pPr>
        <w:rPr>
          <w:rFonts w:cs="Arial"/>
          <w:b/>
          <w:bCs/>
          <w:sz w:val="24"/>
          <w:szCs w:val="24"/>
        </w:rPr>
      </w:pPr>
      <w:r>
        <w:rPr>
          <w:rFonts w:cs="Arial"/>
          <w:b/>
          <w:bCs/>
          <w:sz w:val="24"/>
          <w:szCs w:val="24"/>
        </w:rPr>
        <w:t>5.</w:t>
      </w:r>
      <w:r>
        <w:rPr>
          <w:rFonts w:cs="Arial"/>
          <w:b/>
          <w:bCs/>
          <w:sz w:val="24"/>
          <w:szCs w:val="24"/>
        </w:rPr>
        <w:tab/>
        <w:t>RISK ASSESSMENT OF RECOMMENDATIONS AND OPTIONS</w:t>
      </w:r>
    </w:p>
    <w:p w:rsidR="00413B1F" w:rsidRDefault="00413B1F" w:rsidP="00413B1F">
      <w:pPr>
        <w:rPr>
          <w:rFonts w:cs="Arial"/>
          <w:b/>
          <w:bCs/>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099"/>
        <w:gridCol w:w="1080"/>
        <w:gridCol w:w="3240"/>
      </w:tblGrid>
      <w:tr w:rsidR="00413B1F" w:rsidTr="0075242A">
        <w:tc>
          <w:tcPr>
            <w:tcW w:w="1701" w:type="dxa"/>
          </w:tcPr>
          <w:p w:rsidR="00413B1F" w:rsidRDefault="00413B1F" w:rsidP="00EB7B64">
            <w:pPr>
              <w:rPr>
                <w:b/>
                <w:bCs/>
                <w:sz w:val="24"/>
                <w:szCs w:val="24"/>
              </w:rPr>
            </w:pPr>
            <w:r>
              <w:rPr>
                <w:b/>
                <w:bCs/>
                <w:sz w:val="24"/>
                <w:szCs w:val="24"/>
              </w:rPr>
              <w:t xml:space="preserve">Risk </w:t>
            </w:r>
          </w:p>
        </w:tc>
        <w:tc>
          <w:tcPr>
            <w:tcW w:w="3099" w:type="dxa"/>
          </w:tcPr>
          <w:p w:rsidR="00413B1F" w:rsidRDefault="00413B1F" w:rsidP="00EB7B64">
            <w:pPr>
              <w:rPr>
                <w:b/>
                <w:bCs/>
                <w:sz w:val="24"/>
                <w:szCs w:val="24"/>
              </w:rPr>
            </w:pPr>
            <w:r>
              <w:rPr>
                <w:b/>
                <w:bCs/>
                <w:sz w:val="24"/>
                <w:szCs w:val="24"/>
              </w:rPr>
              <w:t xml:space="preserve">Risk Assessment </w:t>
            </w:r>
          </w:p>
        </w:tc>
        <w:tc>
          <w:tcPr>
            <w:tcW w:w="1080" w:type="dxa"/>
          </w:tcPr>
          <w:p w:rsidR="00413B1F" w:rsidRDefault="00413B1F" w:rsidP="00EB7B64">
            <w:pPr>
              <w:rPr>
                <w:b/>
                <w:bCs/>
                <w:sz w:val="24"/>
                <w:szCs w:val="24"/>
              </w:rPr>
            </w:pPr>
            <w:r>
              <w:rPr>
                <w:b/>
                <w:bCs/>
                <w:sz w:val="24"/>
                <w:szCs w:val="24"/>
              </w:rPr>
              <w:t xml:space="preserve">Risk Level </w:t>
            </w:r>
          </w:p>
        </w:tc>
        <w:tc>
          <w:tcPr>
            <w:tcW w:w="3240" w:type="dxa"/>
          </w:tcPr>
          <w:p w:rsidR="00413B1F" w:rsidRDefault="00413B1F" w:rsidP="00EB7B64">
            <w:pPr>
              <w:rPr>
                <w:b/>
                <w:bCs/>
                <w:sz w:val="24"/>
                <w:szCs w:val="24"/>
              </w:rPr>
            </w:pPr>
            <w:r>
              <w:rPr>
                <w:b/>
                <w:bCs/>
                <w:sz w:val="24"/>
                <w:szCs w:val="24"/>
              </w:rPr>
              <w:t xml:space="preserve">Risk Management </w:t>
            </w:r>
          </w:p>
        </w:tc>
      </w:tr>
      <w:tr w:rsidR="00413B1F" w:rsidTr="0075242A">
        <w:tc>
          <w:tcPr>
            <w:tcW w:w="1701" w:type="dxa"/>
          </w:tcPr>
          <w:p w:rsidR="00413B1F" w:rsidRDefault="00413B1F" w:rsidP="00EB7B64">
            <w:pPr>
              <w:jc w:val="left"/>
              <w:rPr>
                <w:bCs/>
                <w:sz w:val="24"/>
                <w:szCs w:val="24"/>
              </w:rPr>
            </w:pPr>
            <w:r>
              <w:rPr>
                <w:bCs/>
                <w:sz w:val="24"/>
                <w:szCs w:val="24"/>
              </w:rPr>
              <w:t>Expenditure / income</w:t>
            </w:r>
          </w:p>
        </w:tc>
        <w:tc>
          <w:tcPr>
            <w:tcW w:w="3099" w:type="dxa"/>
          </w:tcPr>
          <w:p w:rsidR="00413B1F" w:rsidRDefault="00413B1F" w:rsidP="0075242A">
            <w:pPr>
              <w:rPr>
                <w:bCs/>
                <w:sz w:val="24"/>
                <w:szCs w:val="24"/>
              </w:rPr>
            </w:pPr>
            <w:r>
              <w:rPr>
                <w:bCs/>
                <w:sz w:val="24"/>
                <w:szCs w:val="24"/>
              </w:rPr>
              <w:t>This report shows estimated expenditure based on information currently known and makes assumptions regarding the level of resources available to finance the expenditure.</w:t>
            </w:r>
          </w:p>
        </w:tc>
        <w:tc>
          <w:tcPr>
            <w:tcW w:w="1080" w:type="dxa"/>
          </w:tcPr>
          <w:p w:rsidR="00413B1F" w:rsidRDefault="00413B1F" w:rsidP="00EB7B64">
            <w:pPr>
              <w:rPr>
                <w:rFonts w:cs="Arial"/>
                <w:bCs/>
                <w:color w:val="000000"/>
                <w:sz w:val="24"/>
                <w:szCs w:val="24"/>
              </w:rPr>
            </w:pPr>
            <w:r>
              <w:rPr>
                <w:rFonts w:cs="Arial"/>
                <w:bCs/>
                <w:color w:val="000000"/>
                <w:sz w:val="24"/>
                <w:szCs w:val="24"/>
              </w:rPr>
              <w:t>Medium</w:t>
            </w:r>
          </w:p>
        </w:tc>
        <w:tc>
          <w:tcPr>
            <w:tcW w:w="3240" w:type="dxa"/>
          </w:tcPr>
          <w:p w:rsidR="00413B1F" w:rsidRDefault="00413B1F" w:rsidP="00865FCE">
            <w:pPr>
              <w:rPr>
                <w:bCs/>
                <w:sz w:val="24"/>
                <w:szCs w:val="24"/>
              </w:rPr>
            </w:pPr>
            <w:r>
              <w:rPr>
                <w:bCs/>
                <w:sz w:val="24"/>
                <w:szCs w:val="24"/>
              </w:rPr>
              <w:t xml:space="preserve">To mitigate this risk, project officers and the </w:t>
            </w:r>
            <w:r w:rsidR="00346BCB">
              <w:rPr>
                <w:bCs/>
                <w:sz w:val="24"/>
                <w:szCs w:val="24"/>
              </w:rPr>
              <w:t>Director of Commerce and Customer</w:t>
            </w:r>
            <w:r w:rsidR="00655B73">
              <w:rPr>
                <w:bCs/>
                <w:sz w:val="24"/>
                <w:szCs w:val="24"/>
              </w:rPr>
              <w:t>s</w:t>
            </w:r>
            <w:r>
              <w:rPr>
                <w:bCs/>
                <w:sz w:val="24"/>
                <w:szCs w:val="24"/>
              </w:rPr>
              <w:t xml:space="preserve"> through the Capital Programme Project Board closely monitor the schemes and highlight any matters which may arise.</w:t>
            </w:r>
          </w:p>
        </w:tc>
      </w:tr>
      <w:tr w:rsidR="00413B1F" w:rsidTr="0075242A">
        <w:tc>
          <w:tcPr>
            <w:tcW w:w="1701" w:type="dxa"/>
          </w:tcPr>
          <w:p w:rsidR="00413B1F" w:rsidRDefault="00413B1F" w:rsidP="00EB7B64">
            <w:pPr>
              <w:jc w:val="left"/>
              <w:rPr>
                <w:bCs/>
                <w:sz w:val="24"/>
                <w:szCs w:val="24"/>
              </w:rPr>
            </w:pPr>
            <w:r>
              <w:rPr>
                <w:bCs/>
                <w:sz w:val="24"/>
                <w:szCs w:val="24"/>
              </w:rPr>
              <w:t>Council’s aims and objectives</w:t>
            </w:r>
          </w:p>
        </w:tc>
        <w:tc>
          <w:tcPr>
            <w:tcW w:w="3099" w:type="dxa"/>
          </w:tcPr>
          <w:p w:rsidR="00413B1F" w:rsidRDefault="00413B1F" w:rsidP="0075242A">
            <w:pPr>
              <w:rPr>
                <w:bCs/>
                <w:sz w:val="24"/>
                <w:szCs w:val="24"/>
              </w:rPr>
            </w:pPr>
            <w:r>
              <w:rPr>
                <w:bCs/>
                <w:sz w:val="24"/>
                <w:szCs w:val="24"/>
              </w:rPr>
              <w:t>When schemes are not progressing in line with the approved capital programme there is a risk that the Council will not achieve its stated aims and objectives in the corporate plan.</w:t>
            </w:r>
          </w:p>
        </w:tc>
        <w:tc>
          <w:tcPr>
            <w:tcW w:w="1080" w:type="dxa"/>
          </w:tcPr>
          <w:p w:rsidR="00413B1F" w:rsidRDefault="00413B1F" w:rsidP="00EB7B64">
            <w:pPr>
              <w:rPr>
                <w:rFonts w:cs="Arial"/>
                <w:bCs/>
                <w:color w:val="000000"/>
                <w:sz w:val="24"/>
                <w:szCs w:val="24"/>
              </w:rPr>
            </w:pPr>
            <w:r>
              <w:rPr>
                <w:rFonts w:cs="Arial"/>
                <w:bCs/>
                <w:color w:val="000000"/>
                <w:sz w:val="24"/>
                <w:szCs w:val="24"/>
              </w:rPr>
              <w:t>High</w:t>
            </w:r>
          </w:p>
        </w:tc>
        <w:tc>
          <w:tcPr>
            <w:tcW w:w="3240" w:type="dxa"/>
          </w:tcPr>
          <w:p w:rsidR="00413B1F" w:rsidRDefault="00413B1F" w:rsidP="0075242A">
            <w:pPr>
              <w:rPr>
                <w:bCs/>
                <w:sz w:val="24"/>
                <w:szCs w:val="24"/>
              </w:rPr>
            </w:pPr>
            <w:r>
              <w:rPr>
                <w:bCs/>
                <w:sz w:val="24"/>
                <w:szCs w:val="24"/>
              </w:rPr>
              <w:t>Project Board to assess the impact of any changes at its meetings and report any issues arising.</w:t>
            </w:r>
          </w:p>
          <w:p w:rsidR="004D0E2A" w:rsidRDefault="004D0E2A" w:rsidP="0075242A">
            <w:pPr>
              <w:rPr>
                <w:bCs/>
                <w:sz w:val="24"/>
                <w:szCs w:val="24"/>
              </w:rPr>
            </w:pPr>
          </w:p>
          <w:p w:rsidR="004D0E2A" w:rsidRDefault="004D0E2A" w:rsidP="0075242A">
            <w:pPr>
              <w:rPr>
                <w:bCs/>
                <w:sz w:val="24"/>
                <w:szCs w:val="24"/>
              </w:rPr>
            </w:pPr>
          </w:p>
          <w:p w:rsidR="004D0E2A" w:rsidRDefault="004D0E2A" w:rsidP="0075242A">
            <w:pPr>
              <w:rPr>
                <w:bCs/>
                <w:sz w:val="24"/>
                <w:szCs w:val="24"/>
              </w:rPr>
            </w:pPr>
          </w:p>
          <w:p w:rsidR="004D0E2A" w:rsidRDefault="004D0E2A" w:rsidP="0075242A">
            <w:pPr>
              <w:rPr>
                <w:bCs/>
                <w:sz w:val="24"/>
                <w:szCs w:val="24"/>
              </w:rPr>
            </w:pPr>
          </w:p>
          <w:p w:rsidR="004D0E2A" w:rsidRDefault="004D0E2A" w:rsidP="0075242A">
            <w:pPr>
              <w:rPr>
                <w:bCs/>
                <w:sz w:val="24"/>
                <w:szCs w:val="24"/>
              </w:rPr>
            </w:pPr>
          </w:p>
        </w:tc>
      </w:tr>
      <w:tr w:rsidR="0075242A" w:rsidTr="0075242A">
        <w:tc>
          <w:tcPr>
            <w:tcW w:w="1701" w:type="dxa"/>
          </w:tcPr>
          <w:p w:rsidR="0075242A" w:rsidRDefault="0075242A" w:rsidP="00EB7B64">
            <w:pPr>
              <w:jc w:val="left"/>
              <w:rPr>
                <w:bCs/>
                <w:sz w:val="24"/>
                <w:szCs w:val="24"/>
              </w:rPr>
            </w:pPr>
            <w:r>
              <w:rPr>
                <w:bCs/>
                <w:sz w:val="24"/>
                <w:szCs w:val="24"/>
              </w:rPr>
              <w:t>Reputational Risk</w:t>
            </w:r>
          </w:p>
        </w:tc>
        <w:tc>
          <w:tcPr>
            <w:tcW w:w="3099" w:type="dxa"/>
          </w:tcPr>
          <w:p w:rsidR="0075242A" w:rsidRDefault="00346BCB" w:rsidP="00EB7B64">
            <w:pPr>
              <w:jc w:val="left"/>
              <w:rPr>
                <w:bCs/>
                <w:sz w:val="24"/>
                <w:szCs w:val="24"/>
              </w:rPr>
            </w:pPr>
            <w:r>
              <w:rPr>
                <w:bCs/>
                <w:sz w:val="24"/>
                <w:szCs w:val="24"/>
              </w:rPr>
              <w:t>The Council’s reputation could be affected by significant overspends on projects or projects being delivered late.</w:t>
            </w:r>
          </w:p>
        </w:tc>
        <w:tc>
          <w:tcPr>
            <w:tcW w:w="1080" w:type="dxa"/>
          </w:tcPr>
          <w:p w:rsidR="0075242A" w:rsidRDefault="00865FCE" w:rsidP="00EB7B64">
            <w:pPr>
              <w:rPr>
                <w:rFonts w:cs="Arial"/>
                <w:bCs/>
                <w:color w:val="000000"/>
                <w:sz w:val="24"/>
                <w:szCs w:val="24"/>
              </w:rPr>
            </w:pPr>
            <w:r>
              <w:rPr>
                <w:rFonts w:cs="Arial"/>
                <w:bCs/>
                <w:color w:val="000000"/>
                <w:sz w:val="24"/>
                <w:szCs w:val="24"/>
              </w:rPr>
              <w:t>Medium</w:t>
            </w:r>
          </w:p>
        </w:tc>
        <w:tc>
          <w:tcPr>
            <w:tcW w:w="3240" w:type="dxa"/>
          </w:tcPr>
          <w:p w:rsidR="0075242A" w:rsidRDefault="00865FCE" w:rsidP="00EB7B64">
            <w:pPr>
              <w:jc w:val="left"/>
              <w:rPr>
                <w:bCs/>
                <w:sz w:val="24"/>
                <w:szCs w:val="24"/>
              </w:rPr>
            </w:pPr>
            <w:r>
              <w:rPr>
                <w:bCs/>
                <w:sz w:val="24"/>
                <w:szCs w:val="24"/>
              </w:rPr>
              <w:t>To mitigate this risk, project officers and the Director of Commerce and Customer</w:t>
            </w:r>
            <w:r w:rsidR="00655B73">
              <w:rPr>
                <w:bCs/>
                <w:sz w:val="24"/>
                <w:szCs w:val="24"/>
              </w:rPr>
              <w:t>s</w:t>
            </w:r>
            <w:r>
              <w:rPr>
                <w:bCs/>
                <w:sz w:val="24"/>
                <w:szCs w:val="24"/>
              </w:rPr>
              <w:t xml:space="preserve"> through the Capital Programme Project Board closely monitor the schemes and highlight any matters which may arise.</w:t>
            </w:r>
          </w:p>
        </w:tc>
      </w:tr>
    </w:tbl>
    <w:p w:rsidR="00413B1F" w:rsidRDefault="00413B1F" w:rsidP="00413B1F">
      <w:pPr>
        <w:rPr>
          <w:rFonts w:cs="Arial"/>
          <w:sz w:val="24"/>
          <w:szCs w:val="24"/>
          <w:highlight w:val="yellow"/>
        </w:rPr>
      </w:pPr>
    </w:p>
    <w:p w:rsidR="00413B1F" w:rsidRDefault="00413B1F" w:rsidP="00413B1F">
      <w:pPr>
        <w:rPr>
          <w:rFonts w:cs="Arial"/>
          <w:b/>
          <w:sz w:val="24"/>
          <w:szCs w:val="24"/>
        </w:rPr>
      </w:pPr>
      <w:r>
        <w:rPr>
          <w:rFonts w:cs="Arial"/>
          <w:b/>
          <w:sz w:val="24"/>
          <w:szCs w:val="24"/>
        </w:rPr>
        <w:t>6.</w:t>
      </w:r>
      <w:r>
        <w:rPr>
          <w:rFonts w:cs="Arial"/>
          <w:b/>
          <w:sz w:val="24"/>
          <w:szCs w:val="24"/>
        </w:rPr>
        <w:tab/>
        <w:t>ALIGNMENT TO COUNCIL PRIORITIES</w:t>
      </w:r>
    </w:p>
    <w:p w:rsidR="00413B1F" w:rsidRDefault="00413B1F" w:rsidP="00413B1F">
      <w:pPr>
        <w:rPr>
          <w:rFonts w:cs="Arial"/>
          <w:sz w:val="24"/>
          <w:szCs w:val="24"/>
        </w:rPr>
      </w:pPr>
    </w:p>
    <w:p w:rsidR="00413B1F" w:rsidRDefault="00413B1F" w:rsidP="00413B1F">
      <w:pPr>
        <w:ind w:left="720" w:hanging="720"/>
        <w:rPr>
          <w:sz w:val="24"/>
          <w:szCs w:val="24"/>
        </w:rPr>
      </w:pPr>
      <w:r>
        <w:rPr>
          <w:sz w:val="24"/>
          <w:szCs w:val="24"/>
        </w:rPr>
        <w:t>6.1</w:t>
      </w:r>
      <w:r>
        <w:rPr>
          <w:sz w:val="24"/>
          <w:szCs w:val="24"/>
        </w:rPr>
        <w:tab/>
        <w:t>The management of major capital projects is vital in delivering the Council’s priorities.</w:t>
      </w:r>
    </w:p>
    <w:p w:rsidR="00FF16A9" w:rsidRDefault="00FF16A9" w:rsidP="00413B1F">
      <w:pPr>
        <w:rPr>
          <w:rFonts w:cs="Arial"/>
          <w:sz w:val="24"/>
          <w:szCs w:val="24"/>
        </w:rPr>
      </w:pPr>
    </w:p>
    <w:p w:rsidR="00CA6D08" w:rsidRDefault="00CA6D08" w:rsidP="00413B1F">
      <w:pPr>
        <w:rPr>
          <w:rFonts w:cs="Arial"/>
          <w:sz w:val="24"/>
          <w:szCs w:val="24"/>
        </w:rPr>
      </w:pPr>
    </w:p>
    <w:p w:rsidR="00413B1F" w:rsidRDefault="00413B1F" w:rsidP="00413B1F">
      <w:pPr>
        <w:rPr>
          <w:b/>
          <w:bCs/>
          <w:sz w:val="24"/>
          <w:szCs w:val="24"/>
        </w:rPr>
      </w:pPr>
      <w:r>
        <w:rPr>
          <w:rFonts w:cs="Arial"/>
          <w:b/>
          <w:sz w:val="24"/>
          <w:szCs w:val="24"/>
        </w:rPr>
        <w:t>7.</w:t>
      </w:r>
      <w:r>
        <w:rPr>
          <w:rFonts w:cs="Arial"/>
          <w:sz w:val="24"/>
          <w:szCs w:val="24"/>
        </w:rPr>
        <w:tab/>
      </w:r>
      <w:r>
        <w:rPr>
          <w:b/>
          <w:bCs/>
          <w:sz w:val="24"/>
          <w:szCs w:val="24"/>
        </w:rPr>
        <w:t>IMPLICATIONS</w:t>
      </w:r>
    </w:p>
    <w:p w:rsidR="00413B1F" w:rsidRDefault="00413B1F" w:rsidP="00413B1F"/>
    <w:p w:rsidR="00413B1F" w:rsidRDefault="00413B1F" w:rsidP="00413B1F">
      <w:pPr>
        <w:numPr>
          <w:ilvl w:val="0"/>
          <w:numId w:val="2"/>
        </w:numPr>
        <w:rPr>
          <w:rFonts w:cs="Arial"/>
          <w:sz w:val="24"/>
          <w:szCs w:val="24"/>
        </w:rPr>
      </w:pPr>
      <w:r>
        <w:rPr>
          <w:rFonts w:cs="Arial"/>
          <w:sz w:val="24"/>
          <w:szCs w:val="24"/>
        </w:rPr>
        <w:t>Relevant Legislation: The Council’s capital programme adheres to the following legislation:</w:t>
      </w:r>
    </w:p>
    <w:p w:rsidR="00413B1F" w:rsidRDefault="00413B1F" w:rsidP="00413B1F">
      <w:pPr>
        <w:numPr>
          <w:ilvl w:val="1"/>
          <w:numId w:val="2"/>
        </w:numPr>
        <w:rPr>
          <w:rFonts w:cs="Arial"/>
          <w:sz w:val="24"/>
          <w:szCs w:val="24"/>
        </w:rPr>
      </w:pPr>
      <w:r>
        <w:rPr>
          <w:rFonts w:cs="Arial"/>
          <w:sz w:val="24"/>
          <w:szCs w:val="24"/>
        </w:rPr>
        <w:t>Local Government Act 1972</w:t>
      </w:r>
    </w:p>
    <w:p w:rsidR="00413B1F" w:rsidRDefault="00413B1F" w:rsidP="00413B1F">
      <w:pPr>
        <w:numPr>
          <w:ilvl w:val="1"/>
          <w:numId w:val="2"/>
        </w:numPr>
        <w:rPr>
          <w:rFonts w:cs="Arial"/>
          <w:sz w:val="24"/>
          <w:szCs w:val="24"/>
        </w:rPr>
      </w:pPr>
      <w:r>
        <w:rPr>
          <w:rFonts w:cs="Arial"/>
          <w:sz w:val="24"/>
          <w:szCs w:val="24"/>
        </w:rPr>
        <w:t>Local Government Finance Act 1972</w:t>
      </w:r>
    </w:p>
    <w:p w:rsidR="00413B1F" w:rsidRDefault="00413B1F" w:rsidP="00413B1F">
      <w:pPr>
        <w:numPr>
          <w:ilvl w:val="1"/>
          <w:numId w:val="2"/>
        </w:numPr>
        <w:rPr>
          <w:rFonts w:cs="Arial"/>
          <w:sz w:val="24"/>
          <w:szCs w:val="24"/>
        </w:rPr>
      </w:pPr>
      <w:r>
        <w:rPr>
          <w:rFonts w:cs="Arial"/>
          <w:sz w:val="24"/>
          <w:szCs w:val="24"/>
        </w:rPr>
        <w:t>Local Government Finance Act 1988</w:t>
      </w:r>
    </w:p>
    <w:p w:rsidR="00413B1F" w:rsidRDefault="00413B1F" w:rsidP="00413B1F">
      <w:pPr>
        <w:numPr>
          <w:ilvl w:val="1"/>
          <w:numId w:val="2"/>
        </w:numPr>
        <w:rPr>
          <w:rFonts w:cs="Arial"/>
          <w:sz w:val="24"/>
          <w:szCs w:val="24"/>
        </w:rPr>
      </w:pPr>
      <w:r>
        <w:rPr>
          <w:rFonts w:cs="Arial"/>
          <w:sz w:val="24"/>
          <w:szCs w:val="24"/>
        </w:rPr>
        <w:t>Local Government and Housing Act 1989</w:t>
      </w:r>
    </w:p>
    <w:p w:rsidR="00413B1F" w:rsidRDefault="00413B1F" w:rsidP="00413B1F">
      <w:pPr>
        <w:numPr>
          <w:ilvl w:val="1"/>
          <w:numId w:val="2"/>
        </w:numPr>
        <w:rPr>
          <w:rFonts w:cs="Arial"/>
          <w:sz w:val="24"/>
          <w:szCs w:val="24"/>
        </w:rPr>
      </w:pPr>
      <w:r>
        <w:rPr>
          <w:rFonts w:cs="Arial"/>
          <w:sz w:val="24"/>
          <w:szCs w:val="24"/>
        </w:rPr>
        <w:lastRenderedPageBreak/>
        <w:t>The Local Authorities (Capital Finance and Accounting)(</w:t>
      </w:r>
      <w:smartTag w:uri="urn:schemas-microsoft-com:office:smarttags" w:element="country-region">
        <w:smartTag w:uri="urn:schemas-microsoft-com:office:smarttags" w:element="place">
          <w:r>
            <w:rPr>
              <w:rFonts w:cs="Arial"/>
              <w:sz w:val="24"/>
              <w:szCs w:val="24"/>
            </w:rPr>
            <w:t>England</w:t>
          </w:r>
        </w:smartTag>
      </w:smartTag>
      <w:r>
        <w:rPr>
          <w:rFonts w:cs="Arial"/>
          <w:sz w:val="24"/>
          <w:szCs w:val="24"/>
        </w:rPr>
        <w:t>) Regulations 2003</w:t>
      </w:r>
    </w:p>
    <w:p w:rsidR="00413B1F" w:rsidRDefault="00413B1F" w:rsidP="00413B1F">
      <w:pPr>
        <w:ind w:left="360"/>
        <w:rPr>
          <w:rFonts w:cs="Arial"/>
          <w:sz w:val="24"/>
          <w:szCs w:val="24"/>
        </w:rPr>
      </w:pPr>
    </w:p>
    <w:p w:rsidR="00413B1F" w:rsidRDefault="00413B1F" w:rsidP="00413B1F">
      <w:pPr>
        <w:numPr>
          <w:ilvl w:val="0"/>
          <w:numId w:val="2"/>
        </w:numPr>
        <w:rPr>
          <w:rFonts w:cs="Arial"/>
          <w:sz w:val="24"/>
          <w:szCs w:val="24"/>
        </w:rPr>
      </w:pPr>
      <w:r>
        <w:rPr>
          <w:rFonts w:cs="Arial"/>
          <w:sz w:val="24"/>
          <w:szCs w:val="24"/>
        </w:rPr>
        <w:t>Human Rights: No impact.</w:t>
      </w:r>
    </w:p>
    <w:p w:rsidR="00413B1F" w:rsidRDefault="00413B1F" w:rsidP="00413B1F">
      <w:pPr>
        <w:rPr>
          <w:rFonts w:cs="Arial"/>
          <w:sz w:val="24"/>
          <w:szCs w:val="24"/>
        </w:rPr>
      </w:pPr>
    </w:p>
    <w:p w:rsidR="00413B1F" w:rsidRDefault="00413B1F" w:rsidP="00413B1F">
      <w:pPr>
        <w:numPr>
          <w:ilvl w:val="0"/>
          <w:numId w:val="2"/>
        </w:numPr>
        <w:rPr>
          <w:rFonts w:cs="Arial"/>
          <w:sz w:val="24"/>
          <w:szCs w:val="24"/>
        </w:rPr>
      </w:pPr>
      <w:r>
        <w:rPr>
          <w:rFonts w:cs="Arial"/>
          <w:sz w:val="24"/>
          <w:szCs w:val="24"/>
        </w:rPr>
        <w:t>Equality and Diversity: No impact.</w:t>
      </w:r>
    </w:p>
    <w:p w:rsidR="00413B1F" w:rsidRDefault="00413B1F" w:rsidP="00413B1F">
      <w:pPr>
        <w:ind w:left="360"/>
        <w:rPr>
          <w:rFonts w:cs="Arial"/>
          <w:sz w:val="24"/>
          <w:szCs w:val="24"/>
        </w:rPr>
      </w:pPr>
    </w:p>
    <w:p w:rsidR="00413B1F" w:rsidRDefault="00413B1F" w:rsidP="00413B1F">
      <w:pPr>
        <w:numPr>
          <w:ilvl w:val="0"/>
          <w:numId w:val="2"/>
        </w:numPr>
        <w:rPr>
          <w:rFonts w:cs="Arial"/>
          <w:sz w:val="24"/>
          <w:szCs w:val="24"/>
        </w:rPr>
      </w:pPr>
      <w:r>
        <w:rPr>
          <w:rFonts w:cs="Arial"/>
          <w:sz w:val="24"/>
          <w:szCs w:val="24"/>
        </w:rPr>
        <w:t xml:space="preserve">Climate change and environmental sustainability: The capital programme contains schemes which are designed to reduce the Council’s carbon footprint as well as reducing CO2 emissions across the district.  The proposed amendments will not adversely affect the </w:t>
      </w:r>
      <w:r w:rsidRPr="0044186D">
        <w:rPr>
          <w:rFonts w:cs="Arial"/>
          <w:sz w:val="24"/>
          <w:szCs w:val="24"/>
        </w:rPr>
        <w:t>Council</w:t>
      </w:r>
      <w:r>
        <w:rPr>
          <w:rFonts w:cs="Arial"/>
          <w:sz w:val="24"/>
          <w:szCs w:val="24"/>
        </w:rPr>
        <w:t>’s impact on carbon reduction</w:t>
      </w:r>
    </w:p>
    <w:p w:rsidR="00413B1F" w:rsidRDefault="00413B1F" w:rsidP="00413B1F">
      <w:pPr>
        <w:rPr>
          <w:rFonts w:cs="Arial"/>
          <w:sz w:val="24"/>
          <w:szCs w:val="24"/>
        </w:rPr>
      </w:pPr>
    </w:p>
    <w:p w:rsidR="00413B1F" w:rsidRDefault="00413B1F" w:rsidP="00413B1F">
      <w:pPr>
        <w:numPr>
          <w:ilvl w:val="0"/>
          <w:numId w:val="2"/>
        </w:numPr>
        <w:rPr>
          <w:rFonts w:cs="Arial"/>
          <w:sz w:val="24"/>
          <w:szCs w:val="24"/>
        </w:rPr>
      </w:pPr>
      <w:r>
        <w:rPr>
          <w:rFonts w:cs="Arial"/>
          <w:sz w:val="24"/>
          <w:szCs w:val="24"/>
        </w:rPr>
        <w:t>Crime and Disorder: No impact.</w:t>
      </w:r>
    </w:p>
    <w:p w:rsidR="00413B1F" w:rsidRDefault="00413B1F" w:rsidP="00413B1F">
      <w:pPr>
        <w:rPr>
          <w:rFonts w:cs="Arial"/>
          <w:sz w:val="24"/>
          <w:szCs w:val="24"/>
        </w:rPr>
      </w:pPr>
    </w:p>
    <w:p w:rsidR="00413B1F" w:rsidRDefault="00413B1F" w:rsidP="00413B1F">
      <w:pPr>
        <w:ind w:left="1080" w:hanging="720"/>
        <w:rPr>
          <w:rFonts w:cs="Arial"/>
          <w:sz w:val="24"/>
          <w:szCs w:val="24"/>
          <w:highlight w:val="yellow"/>
        </w:rPr>
      </w:pPr>
      <w:r>
        <w:rPr>
          <w:rFonts w:cs="Arial"/>
          <w:sz w:val="24"/>
          <w:szCs w:val="24"/>
        </w:rPr>
        <w:t>(f)</w:t>
      </w:r>
      <w:r>
        <w:rPr>
          <w:rFonts w:cs="Arial"/>
          <w:sz w:val="24"/>
          <w:szCs w:val="24"/>
        </w:rPr>
        <w:tab/>
        <w:t xml:space="preserve">Budget / Resources: Resource implications were considered when the capital programme was approved.  Changes to the original budget are assessed and monitored on an on-going basis.  </w:t>
      </w:r>
    </w:p>
    <w:p w:rsidR="00413B1F" w:rsidRDefault="00413B1F" w:rsidP="00413B1F">
      <w:pPr>
        <w:ind w:left="1080" w:hanging="720"/>
        <w:rPr>
          <w:rFonts w:cs="Arial"/>
          <w:sz w:val="24"/>
          <w:szCs w:val="24"/>
          <w:highlight w:val="yellow"/>
        </w:rPr>
      </w:pPr>
    </w:p>
    <w:p w:rsidR="00413B1F" w:rsidRDefault="00413B1F" w:rsidP="00413B1F">
      <w:pPr>
        <w:rPr>
          <w:rFonts w:cs="Arial"/>
          <w:b/>
          <w:sz w:val="24"/>
          <w:szCs w:val="24"/>
        </w:rPr>
      </w:pPr>
    </w:p>
    <w:p w:rsidR="00413B1F" w:rsidRDefault="00413B1F" w:rsidP="00413B1F">
      <w:pPr>
        <w:rPr>
          <w:rFonts w:cs="Arial"/>
          <w:b/>
          <w:sz w:val="24"/>
          <w:szCs w:val="24"/>
        </w:rPr>
      </w:pPr>
      <w:r>
        <w:rPr>
          <w:rFonts w:cs="Arial"/>
          <w:b/>
          <w:sz w:val="24"/>
          <w:szCs w:val="24"/>
        </w:rPr>
        <w:t>8.</w:t>
      </w:r>
      <w:r>
        <w:rPr>
          <w:rFonts w:cs="Arial"/>
          <w:b/>
          <w:sz w:val="24"/>
          <w:szCs w:val="24"/>
        </w:rPr>
        <w:tab/>
        <w:t>COMMENTS OF STATUTORY OFFICERS</w:t>
      </w:r>
    </w:p>
    <w:p w:rsidR="00413B1F" w:rsidRDefault="00413B1F" w:rsidP="00413B1F">
      <w:pPr>
        <w:rPr>
          <w:rFonts w:cs="Arial"/>
          <w:sz w:val="24"/>
          <w:szCs w:val="24"/>
        </w:rPr>
      </w:pPr>
    </w:p>
    <w:p w:rsidR="00413B1F" w:rsidRPr="00104F3A" w:rsidRDefault="00413B1F" w:rsidP="00413B1F">
      <w:pPr>
        <w:ind w:left="720"/>
        <w:rPr>
          <w:rFonts w:cs="Arial"/>
          <w:sz w:val="24"/>
          <w:szCs w:val="24"/>
        </w:rPr>
      </w:pPr>
      <w:r>
        <w:rPr>
          <w:rFonts w:cs="Arial"/>
          <w:sz w:val="24"/>
          <w:szCs w:val="24"/>
        </w:rPr>
        <w:t xml:space="preserve">Section 151 Officer – </w:t>
      </w:r>
      <w:r w:rsidR="00493C8D" w:rsidRPr="00104F3A">
        <w:rPr>
          <w:rFonts w:cs="Arial"/>
          <w:sz w:val="24"/>
          <w:szCs w:val="24"/>
        </w:rPr>
        <w:t>The financial details are contained within the body of the report.</w:t>
      </w:r>
    </w:p>
    <w:p w:rsidR="00413B1F" w:rsidRDefault="00413B1F" w:rsidP="00413B1F">
      <w:pPr>
        <w:rPr>
          <w:rFonts w:cs="Arial"/>
          <w:sz w:val="24"/>
          <w:szCs w:val="24"/>
        </w:rPr>
      </w:pPr>
    </w:p>
    <w:p w:rsidR="00413B1F" w:rsidRPr="00104F3A" w:rsidRDefault="00413B1F" w:rsidP="00413B1F">
      <w:pPr>
        <w:ind w:firstLine="720"/>
        <w:rPr>
          <w:rFonts w:cs="Arial"/>
          <w:sz w:val="24"/>
          <w:szCs w:val="24"/>
        </w:rPr>
      </w:pPr>
      <w:r>
        <w:rPr>
          <w:rFonts w:cs="Arial"/>
          <w:sz w:val="24"/>
          <w:szCs w:val="24"/>
        </w:rPr>
        <w:t xml:space="preserve">Monitoring Officer – </w:t>
      </w:r>
      <w:r w:rsidR="00493C8D" w:rsidRPr="00104F3A">
        <w:rPr>
          <w:rFonts w:cs="Arial"/>
          <w:sz w:val="24"/>
          <w:szCs w:val="24"/>
        </w:rPr>
        <w:t xml:space="preserve">No </w:t>
      </w:r>
      <w:r w:rsidR="00D03548" w:rsidRPr="00104F3A">
        <w:rPr>
          <w:rFonts w:cs="Arial"/>
          <w:sz w:val="24"/>
          <w:szCs w:val="24"/>
        </w:rPr>
        <w:t xml:space="preserve">specific Monitoring Officer </w:t>
      </w:r>
      <w:r w:rsidR="00493C8D" w:rsidRPr="00104F3A">
        <w:rPr>
          <w:rFonts w:cs="Arial"/>
          <w:sz w:val="24"/>
          <w:szCs w:val="24"/>
        </w:rPr>
        <w:t>comments.</w:t>
      </w:r>
    </w:p>
    <w:p w:rsidR="00413B1F" w:rsidRPr="000212AC" w:rsidRDefault="00413B1F" w:rsidP="00413B1F">
      <w:pPr>
        <w:rPr>
          <w:rFonts w:cs="Arial"/>
          <w:i/>
          <w:sz w:val="24"/>
          <w:szCs w:val="24"/>
          <w:highlight w:val="yellow"/>
        </w:rPr>
      </w:pPr>
    </w:p>
    <w:p w:rsidR="00C037CE" w:rsidRDefault="00C037CE" w:rsidP="00413B1F">
      <w:pPr>
        <w:rPr>
          <w:rFonts w:cs="Arial"/>
          <w:sz w:val="24"/>
          <w:szCs w:val="24"/>
          <w:highlight w:val="yellow"/>
        </w:rPr>
      </w:pPr>
    </w:p>
    <w:p w:rsidR="00413B1F" w:rsidRDefault="00413B1F" w:rsidP="00413B1F">
      <w:pPr>
        <w:rPr>
          <w:rFonts w:cs="Arial"/>
          <w:b/>
          <w:bCs/>
          <w:sz w:val="24"/>
          <w:szCs w:val="24"/>
        </w:rPr>
      </w:pPr>
      <w:r>
        <w:rPr>
          <w:rFonts w:cs="Arial"/>
          <w:b/>
          <w:bCs/>
          <w:sz w:val="24"/>
          <w:szCs w:val="24"/>
        </w:rPr>
        <w:t>9.</w:t>
      </w:r>
      <w:r>
        <w:rPr>
          <w:rFonts w:cs="Arial"/>
          <w:b/>
          <w:bCs/>
          <w:sz w:val="24"/>
          <w:szCs w:val="24"/>
        </w:rPr>
        <w:tab/>
        <w:t>CONSULTATION</w:t>
      </w:r>
    </w:p>
    <w:p w:rsidR="00413B1F" w:rsidRDefault="00413B1F" w:rsidP="00413B1F">
      <w:pPr>
        <w:rPr>
          <w:rFonts w:cs="Arial"/>
          <w:b/>
          <w:bCs/>
          <w:sz w:val="24"/>
          <w:szCs w:val="24"/>
        </w:rPr>
      </w:pPr>
    </w:p>
    <w:p w:rsidR="00413B1F" w:rsidRDefault="00413B1F" w:rsidP="00413B1F">
      <w:pPr>
        <w:ind w:left="720" w:hanging="720"/>
        <w:rPr>
          <w:rFonts w:cs="Arial"/>
          <w:sz w:val="24"/>
          <w:szCs w:val="24"/>
        </w:rPr>
      </w:pPr>
      <w:r>
        <w:rPr>
          <w:rFonts w:cs="Arial"/>
          <w:sz w:val="24"/>
          <w:szCs w:val="24"/>
        </w:rPr>
        <w:t>9.1</w:t>
      </w:r>
      <w:r>
        <w:rPr>
          <w:rFonts w:cs="Arial"/>
          <w:sz w:val="24"/>
          <w:szCs w:val="24"/>
        </w:rPr>
        <w:tab/>
        <w:t>The capital programme has been developed through consultation on the Council’s priorities as part of the budget planning process.</w:t>
      </w:r>
    </w:p>
    <w:p w:rsidR="00413B1F" w:rsidRDefault="00413B1F" w:rsidP="00413B1F">
      <w:pPr>
        <w:ind w:left="720" w:hanging="720"/>
        <w:rPr>
          <w:rFonts w:cs="Arial"/>
          <w:sz w:val="24"/>
          <w:szCs w:val="24"/>
        </w:rPr>
      </w:pPr>
    </w:p>
    <w:p w:rsidR="00413B1F" w:rsidRDefault="00413B1F" w:rsidP="00413B1F">
      <w:pPr>
        <w:ind w:left="720" w:hanging="720"/>
        <w:rPr>
          <w:rFonts w:cs="Arial"/>
          <w:sz w:val="24"/>
          <w:szCs w:val="24"/>
        </w:rPr>
      </w:pPr>
      <w:r>
        <w:rPr>
          <w:rFonts w:cs="Arial"/>
          <w:sz w:val="24"/>
          <w:szCs w:val="24"/>
        </w:rPr>
        <w:t>9.2</w:t>
      </w:r>
      <w:r>
        <w:rPr>
          <w:rFonts w:cs="Arial"/>
          <w:sz w:val="24"/>
          <w:szCs w:val="24"/>
        </w:rPr>
        <w:tab/>
        <w:t xml:space="preserve">The estimated expenditure and income, together with the comments on the progress of schemes have been provided by the </w:t>
      </w:r>
      <w:r w:rsidR="00C037CE">
        <w:rPr>
          <w:rFonts w:cs="Arial"/>
          <w:sz w:val="24"/>
          <w:szCs w:val="24"/>
        </w:rPr>
        <w:t>Project Officers and Service</w:t>
      </w:r>
      <w:r>
        <w:rPr>
          <w:rFonts w:cs="Arial"/>
          <w:sz w:val="24"/>
          <w:szCs w:val="24"/>
        </w:rPr>
        <w:t xml:space="preserve"> </w:t>
      </w:r>
      <w:r w:rsidR="002F4D94">
        <w:rPr>
          <w:rFonts w:cs="Arial"/>
          <w:sz w:val="24"/>
          <w:szCs w:val="24"/>
        </w:rPr>
        <w:t>Directors</w:t>
      </w:r>
      <w:r>
        <w:rPr>
          <w:rFonts w:cs="Arial"/>
          <w:sz w:val="24"/>
          <w:szCs w:val="24"/>
        </w:rPr>
        <w:t>.</w:t>
      </w:r>
    </w:p>
    <w:p w:rsidR="001E2EC0" w:rsidRDefault="001E2EC0" w:rsidP="00413B1F">
      <w:pPr>
        <w:rPr>
          <w:rFonts w:cs="Arial"/>
          <w:sz w:val="24"/>
          <w:szCs w:val="24"/>
          <w:highlight w:val="yellow"/>
        </w:rPr>
      </w:pPr>
    </w:p>
    <w:p w:rsidR="002C60DA" w:rsidRDefault="002C60DA" w:rsidP="00413B1F">
      <w:pPr>
        <w:rPr>
          <w:rFonts w:cs="Arial"/>
          <w:sz w:val="24"/>
          <w:szCs w:val="24"/>
          <w:highlight w:val="yellow"/>
        </w:rPr>
      </w:pPr>
    </w:p>
    <w:p w:rsidR="00413B1F" w:rsidRDefault="00413B1F" w:rsidP="00413B1F">
      <w:pPr>
        <w:rPr>
          <w:rFonts w:cs="Arial"/>
          <w:b/>
          <w:sz w:val="24"/>
          <w:szCs w:val="24"/>
        </w:rPr>
      </w:pPr>
      <w:r>
        <w:rPr>
          <w:rFonts w:cs="Arial"/>
          <w:b/>
          <w:sz w:val="24"/>
          <w:szCs w:val="24"/>
        </w:rPr>
        <w:t>10.</w:t>
      </w:r>
      <w:r>
        <w:rPr>
          <w:rFonts w:cs="Arial"/>
          <w:b/>
          <w:sz w:val="24"/>
          <w:szCs w:val="24"/>
        </w:rPr>
        <w:tab/>
        <w:t>BACKGROUND PAPERS</w:t>
      </w:r>
    </w:p>
    <w:p w:rsidR="00413B1F" w:rsidRDefault="00413B1F" w:rsidP="00413B1F">
      <w:pPr>
        <w:rPr>
          <w:rFonts w:cs="Arial"/>
          <w:sz w:val="24"/>
          <w:szCs w:val="24"/>
        </w:rPr>
      </w:pPr>
    </w:p>
    <w:p w:rsidR="00413B1F" w:rsidRDefault="00413B1F" w:rsidP="00413B1F">
      <w:pPr>
        <w:ind w:left="720"/>
        <w:rPr>
          <w:rFonts w:cs="Arial"/>
          <w:sz w:val="24"/>
          <w:szCs w:val="24"/>
        </w:rPr>
      </w:pPr>
      <w:r>
        <w:rPr>
          <w:rFonts w:cs="Arial"/>
          <w:sz w:val="24"/>
          <w:szCs w:val="24"/>
        </w:rPr>
        <w:t>None</w:t>
      </w:r>
    </w:p>
    <w:p w:rsidR="00413B1F" w:rsidRDefault="00413B1F" w:rsidP="00413B1F">
      <w:pPr>
        <w:rPr>
          <w:rFonts w:cs="Arial"/>
          <w:sz w:val="24"/>
          <w:szCs w:val="24"/>
        </w:rPr>
      </w:pPr>
    </w:p>
    <w:p w:rsidR="00413B1F" w:rsidRDefault="00413B1F" w:rsidP="00413B1F">
      <w:pPr>
        <w:ind w:firstLine="720"/>
        <w:rPr>
          <w:rFonts w:cs="Arial"/>
          <w:sz w:val="24"/>
          <w:szCs w:val="24"/>
        </w:rPr>
      </w:pPr>
      <w:r>
        <w:rPr>
          <w:rFonts w:cs="Arial"/>
          <w:sz w:val="24"/>
          <w:szCs w:val="24"/>
        </w:rPr>
        <w:t>Report Author</w:t>
      </w:r>
      <w:r>
        <w:rPr>
          <w:rFonts w:cs="Arial"/>
          <w:sz w:val="24"/>
          <w:szCs w:val="24"/>
        </w:rPr>
        <w:tab/>
        <w:t>- Matt Hemsley</w:t>
      </w:r>
    </w:p>
    <w:p w:rsidR="00413B1F" w:rsidRDefault="00413B1F" w:rsidP="00413B1F">
      <w:pPr>
        <w:ind w:firstLine="720"/>
        <w:rPr>
          <w:rFonts w:cs="Arial"/>
          <w:sz w:val="24"/>
          <w:szCs w:val="24"/>
        </w:rPr>
      </w:pPr>
      <w:r>
        <w:rPr>
          <w:rFonts w:cs="Arial"/>
          <w:sz w:val="24"/>
          <w:szCs w:val="24"/>
        </w:rPr>
        <w:t>Designation</w:t>
      </w:r>
      <w:r>
        <w:rPr>
          <w:rFonts w:cs="Arial"/>
          <w:sz w:val="24"/>
          <w:szCs w:val="24"/>
        </w:rPr>
        <w:tab/>
      </w:r>
      <w:r>
        <w:rPr>
          <w:rFonts w:cs="Arial"/>
          <w:sz w:val="24"/>
          <w:szCs w:val="24"/>
        </w:rPr>
        <w:tab/>
        <w:t>- Capital and Housing Group Accountant</w:t>
      </w:r>
    </w:p>
    <w:p w:rsidR="00413B1F" w:rsidRDefault="00413B1F" w:rsidP="00413B1F">
      <w:pPr>
        <w:ind w:firstLine="720"/>
        <w:rPr>
          <w:rFonts w:cs="Arial"/>
          <w:sz w:val="24"/>
          <w:szCs w:val="24"/>
        </w:rPr>
      </w:pPr>
      <w:r>
        <w:rPr>
          <w:rFonts w:cs="Arial"/>
          <w:sz w:val="24"/>
          <w:szCs w:val="24"/>
        </w:rPr>
        <w:t>Telephone</w:t>
      </w:r>
      <w:r>
        <w:rPr>
          <w:rFonts w:cs="Arial"/>
          <w:sz w:val="24"/>
          <w:szCs w:val="24"/>
        </w:rPr>
        <w:tab/>
      </w:r>
      <w:r>
        <w:rPr>
          <w:rFonts w:cs="Arial"/>
          <w:sz w:val="24"/>
          <w:szCs w:val="24"/>
        </w:rPr>
        <w:tab/>
        <w:t>- 01623 463305</w:t>
      </w:r>
    </w:p>
    <w:p w:rsidR="00413B1F" w:rsidRPr="00810E91" w:rsidRDefault="00413B1F" w:rsidP="00413B1F">
      <w:pPr>
        <w:ind w:firstLine="720"/>
        <w:rPr>
          <w:rFonts w:cs="Arial"/>
          <w:sz w:val="24"/>
          <w:szCs w:val="24"/>
        </w:rPr>
      </w:pPr>
      <w:r>
        <w:rPr>
          <w:rFonts w:cs="Arial"/>
          <w:sz w:val="24"/>
          <w:szCs w:val="24"/>
        </w:rPr>
        <w:t>Email</w:t>
      </w:r>
      <w:r>
        <w:rPr>
          <w:rFonts w:cs="Arial"/>
          <w:sz w:val="24"/>
          <w:szCs w:val="24"/>
        </w:rPr>
        <w:tab/>
      </w:r>
      <w:r>
        <w:rPr>
          <w:rFonts w:cs="Arial"/>
          <w:sz w:val="24"/>
          <w:szCs w:val="24"/>
        </w:rPr>
        <w:tab/>
      </w:r>
      <w:r>
        <w:rPr>
          <w:rFonts w:cs="Arial"/>
          <w:sz w:val="24"/>
          <w:szCs w:val="24"/>
        </w:rPr>
        <w:tab/>
        <w:t>- mhemsley@mansfield.gov.uk</w:t>
      </w:r>
    </w:p>
    <w:p w:rsidR="00574F52" w:rsidRDefault="00574F52">
      <w:pPr>
        <w:jc w:val="left"/>
        <w:rPr>
          <w:rFonts w:cs="Arial"/>
          <w:b/>
          <w:sz w:val="24"/>
          <w:szCs w:val="24"/>
        </w:rPr>
      </w:pPr>
    </w:p>
    <w:sectPr w:rsidR="00574F52" w:rsidSect="00F41F0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F9" w:rsidRDefault="007262F9" w:rsidP="00110A82">
      <w:r>
        <w:separator/>
      </w:r>
    </w:p>
  </w:endnote>
  <w:endnote w:type="continuationSeparator" w:id="0">
    <w:p w:rsidR="007262F9" w:rsidRDefault="007262F9" w:rsidP="0011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9" w:rsidRDefault="0072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9" w:rsidRDefault="00726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9" w:rsidRDefault="0072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F9" w:rsidRDefault="007262F9" w:rsidP="00110A82">
      <w:r>
        <w:separator/>
      </w:r>
    </w:p>
  </w:footnote>
  <w:footnote w:type="continuationSeparator" w:id="0">
    <w:p w:rsidR="007262F9" w:rsidRDefault="007262F9" w:rsidP="0011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9" w:rsidRDefault="0072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9" w:rsidRDefault="007262F9">
    <w:pPr>
      <w:pStyle w:val="Header"/>
      <w:jc w:val="right"/>
      <w:rPr>
        <w:sz w:val="18"/>
      </w:rPr>
    </w:pPr>
    <w:r>
      <w:rPr>
        <w:sz w:val="18"/>
      </w:rPr>
      <w:t>MANSFIELD DISTRICT COUNCIL</w:t>
    </w:r>
  </w:p>
  <w:p w:rsidR="007262F9" w:rsidRDefault="007262F9">
    <w:pPr>
      <w:pStyle w:val="Header"/>
      <w:jc w:val="right"/>
      <w:rPr>
        <w:sz w:val="18"/>
      </w:rPr>
    </w:pPr>
  </w:p>
  <w:p w:rsidR="007262F9" w:rsidRDefault="007262F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9" w:rsidRDefault="0072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01"/>
    <w:multiLevelType w:val="multilevel"/>
    <w:tmpl w:val="BF524AE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CF29C6"/>
    <w:multiLevelType w:val="multilevel"/>
    <w:tmpl w:val="94ECB8DE"/>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DD3C45"/>
    <w:multiLevelType w:val="multilevel"/>
    <w:tmpl w:val="BDCA7D5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FF14BB"/>
    <w:multiLevelType w:val="multilevel"/>
    <w:tmpl w:val="1A82527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3D51D4"/>
    <w:multiLevelType w:val="hybridMultilevel"/>
    <w:tmpl w:val="EEF61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4C557F"/>
    <w:multiLevelType w:val="hybridMultilevel"/>
    <w:tmpl w:val="5E3C8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20707B"/>
    <w:multiLevelType w:val="multilevel"/>
    <w:tmpl w:val="F704DB24"/>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2B1740"/>
    <w:multiLevelType w:val="hybridMultilevel"/>
    <w:tmpl w:val="4B602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743BE2"/>
    <w:multiLevelType w:val="multilevel"/>
    <w:tmpl w:val="509A813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i/>
      </w:rPr>
    </w:lvl>
    <w:lvl w:ilvl="2">
      <w:start w:val="1"/>
      <w:numFmt w:val="decimal"/>
      <w:isLgl/>
      <w:lvlText w:val="%1.%2.%3."/>
      <w:lvlJc w:val="left"/>
      <w:pPr>
        <w:tabs>
          <w:tab w:val="num" w:pos="720"/>
        </w:tabs>
        <w:ind w:left="720" w:hanging="720"/>
      </w:pPr>
      <w:rPr>
        <w:rFonts w:cs="Times New Roman" w:hint="default"/>
        <w:i/>
      </w:rPr>
    </w:lvl>
    <w:lvl w:ilvl="3">
      <w:start w:val="1"/>
      <w:numFmt w:val="decimal"/>
      <w:isLgl/>
      <w:lvlText w:val="%1.%2.%3.%4."/>
      <w:lvlJc w:val="left"/>
      <w:pPr>
        <w:tabs>
          <w:tab w:val="num" w:pos="1080"/>
        </w:tabs>
        <w:ind w:left="1080" w:hanging="1080"/>
      </w:pPr>
      <w:rPr>
        <w:rFonts w:cs="Times New Roman" w:hint="default"/>
        <w:i/>
      </w:rPr>
    </w:lvl>
    <w:lvl w:ilvl="4">
      <w:start w:val="1"/>
      <w:numFmt w:val="decimal"/>
      <w:isLgl/>
      <w:lvlText w:val="%1.%2.%3.%4.%5."/>
      <w:lvlJc w:val="left"/>
      <w:pPr>
        <w:tabs>
          <w:tab w:val="num" w:pos="1080"/>
        </w:tabs>
        <w:ind w:left="1080" w:hanging="1080"/>
      </w:pPr>
      <w:rPr>
        <w:rFonts w:cs="Times New Roman" w:hint="default"/>
        <w:i/>
      </w:rPr>
    </w:lvl>
    <w:lvl w:ilvl="5">
      <w:start w:val="1"/>
      <w:numFmt w:val="decimal"/>
      <w:isLgl/>
      <w:lvlText w:val="%1.%2.%3.%4.%5.%6."/>
      <w:lvlJc w:val="left"/>
      <w:pPr>
        <w:tabs>
          <w:tab w:val="num" w:pos="1440"/>
        </w:tabs>
        <w:ind w:left="1440" w:hanging="1440"/>
      </w:pPr>
      <w:rPr>
        <w:rFonts w:cs="Times New Roman" w:hint="default"/>
        <w:i/>
      </w:rPr>
    </w:lvl>
    <w:lvl w:ilvl="6">
      <w:start w:val="1"/>
      <w:numFmt w:val="decimal"/>
      <w:isLgl/>
      <w:lvlText w:val="%1.%2.%3.%4.%5.%6.%7."/>
      <w:lvlJc w:val="left"/>
      <w:pPr>
        <w:tabs>
          <w:tab w:val="num" w:pos="1440"/>
        </w:tabs>
        <w:ind w:left="1440" w:hanging="1440"/>
      </w:pPr>
      <w:rPr>
        <w:rFonts w:cs="Times New Roman" w:hint="default"/>
        <w:i/>
      </w:rPr>
    </w:lvl>
    <w:lvl w:ilvl="7">
      <w:start w:val="1"/>
      <w:numFmt w:val="decimal"/>
      <w:isLgl/>
      <w:lvlText w:val="%1.%2.%3.%4.%5.%6.%7.%8."/>
      <w:lvlJc w:val="left"/>
      <w:pPr>
        <w:tabs>
          <w:tab w:val="num" w:pos="1800"/>
        </w:tabs>
        <w:ind w:left="1800" w:hanging="1800"/>
      </w:pPr>
      <w:rPr>
        <w:rFonts w:cs="Times New Roman" w:hint="default"/>
        <w:i/>
      </w:rPr>
    </w:lvl>
    <w:lvl w:ilvl="8">
      <w:start w:val="1"/>
      <w:numFmt w:val="decimal"/>
      <w:isLgl/>
      <w:lvlText w:val="%1.%2.%3.%4.%5.%6.%7.%8.%9."/>
      <w:lvlJc w:val="left"/>
      <w:pPr>
        <w:tabs>
          <w:tab w:val="num" w:pos="2160"/>
        </w:tabs>
        <w:ind w:left="2160" w:hanging="2160"/>
      </w:pPr>
      <w:rPr>
        <w:rFonts w:cs="Times New Roman" w:hint="default"/>
        <w:i/>
      </w:rPr>
    </w:lvl>
  </w:abstractNum>
  <w:abstractNum w:abstractNumId="9">
    <w:nsid w:val="160A3EF7"/>
    <w:multiLevelType w:val="multilevel"/>
    <w:tmpl w:val="AD16CDC4"/>
    <w:lvl w:ilvl="0">
      <w:start w:val="3"/>
      <w:numFmt w:val="decimal"/>
      <w:lvlText w:val="%1"/>
      <w:lvlJc w:val="left"/>
      <w:pPr>
        <w:ind w:left="525" w:hanging="525"/>
      </w:pPr>
      <w:rPr>
        <w:rFonts w:cs="Times New Roman" w:hint="default"/>
      </w:rPr>
    </w:lvl>
    <w:lvl w:ilvl="1">
      <w:start w:val="8"/>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6EB62D5"/>
    <w:multiLevelType w:val="multilevel"/>
    <w:tmpl w:val="B540E4E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8418EE"/>
    <w:multiLevelType w:val="multilevel"/>
    <w:tmpl w:val="44A849B6"/>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CF14E8"/>
    <w:multiLevelType w:val="multilevel"/>
    <w:tmpl w:val="9AF08B46"/>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F00B29"/>
    <w:multiLevelType w:val="hybridMultilevel"/>
    <w:tmpl w:val="B7E45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9BD7C9D"/>
    <w:multiLevelType w:val="multilevel"/>
    <w:tmpl w:val="BF20BBCC"/>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F01376"/>
    <w:multiLevelType w:val="multilevel"/>
    <w:tmpl w:val="64EE7DE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A17745"/>
    <w:multiLevelType w:val="hybridMultilevel"/>
    <w:tmpl w:val="A8BC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BF62923"/>
    <w:multiLevelType w:val="multilevel"/>
    <w:tmpl w:val="B7CA34D2"/>
    <w:lvl w:ilvl="0">
      <w:start w:val="3"/>
      <w:numFmt w:val="decimal"/>
      <w:lvlText w:val="%1"/>
      <w:lvlJc w:val="left"/>
      <w:pPr>
        <w:ind w:left="525" w:hanging="525"/>
      </w:pPr>
      <w:rPr>
        <w:rFonts w:cs="Times New Roman" w:hint="default"/>
      </w:rPr>
    </w:lvl>
    <w:lvl w:ilvl="1">
      <w:start w:val="9"/>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8723A7C"/>
    <w:multiLevelType w:val="multilevel"/>
    <w:tmpl w:val="48E8450E"/>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9C1FF6"/>
    <w:multiLevelType w:val="multilevel"/>
    <w:tmpl w:val="95F2D08C"/>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A000A6"/>
    <w:multiLevelType w:val="multilevel"/>
    <w:tmpl w:val="4300CA1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1E6DA8"/>
    <w:multiLevelType w:val="hybridMultilevel"/>
    <w:tmpl w:val="DAE665CC"/>
    <w:lvl w:ilvl="0" w:tplc="FD5EA74C">
      <w:start w:val="1"/>
      <w:numFmt w:val="lowerLetter"/>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46C2F72"/>
    <w:multiLevelType w:val="multilevel"/>
    <w:tmpl w:val="384E57B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8693590"/>
    <w:multiLevelType w:val="hybridMultilevel"/>
    <w:tmpl w:val="09E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EB0921"/>
    <w:multiLevelType w:val="multilevel"/>
    <w:tmpl w:val="485E8A0C"/>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3C150B4"/>
    <w:multiLevelType w:val="multilevel"/>
    <w:tmpl w:val="AA0E61D6"/>
    <w:lvl w:ilvl="0">
      <w:start w:val="3"/>
      <w:numFmt w:val="decimal"/>
      <w:lvlText w:val="%1"/>
      <w:lvlJc w:val="left"/>
      <w:pPr>
        <w:ind w:left="525" w:hanging="525"/>
      </w:pPr>
      <w:rPr>
        <w:rFonts w:cs="Arial" w:hint="default"/>
        <w:color w:val="auto"/>
      </w:rPr>
    </w:lvl>
    <w:lvl w:ilvl="1">
      <w:start w:val="4"/>
      <w:numFmt w:val="decimal"/>
      <w:lvlText w:val="%1.%2"/>
      <w:lvlJc w:val="left"/>
      <w:pPr>
        <w:ind w:left="525" w:hanging="525"/>
      </w:pPr>
      <w:rPr>
        <w:rFonts w:cs="Arial" w:hint="default"/>
        <w:color w:val="auto"/>
      </w:rPr>
    </w:lvl>
    <w:lvl w:ilvl="2">
      <w:start w:val="4"/>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6">
    <w:nsid w:val="56443215"/>
    <w:multiLevelType w:val="multilevel"/>
    <w:tmpl w:val="B41E6716"/>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FA1CD8"/>
    <w:multiLevelType w:val="hybridMultilevel"/>
    <w:tmpl w:val="2F2E694E"/>
    <w:lvl w:ilvl="0" w:tplc="078E5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044ADE"/>
    <w:multiLevelType w:val="multilevel"/>
    <w:tmpl w:val="7862BA5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7C53CE"/>
    <w:multiLevelType w:val="multilevel"/>
    <w:tmpl w:val="A7EA4FC2"/>
    <w:lvl w:ilvl="0">
      <w:start w:val="3"/>
      <w:numFmt w:val="decimal"/>
      <w:lvlText w:val="%1"/>
      <w:lvlJc w:val="left"/>
      <w:pPr>
        <w:ind w:left="465" w:hanging="465"/>
      </w:pPr>
      <w:rPr>
        <w:rFonts w:hint="default"/>
        <w:b/>
      </w:rPr>
    </w:lvl>
    <w:lvl w:ilvl="1">
      <w:start w:val="12"/>
      <w:numFmt w:val="decimal"/>
      <w:lvlText w:val="%1.%2"/>
      <w:lvlJc w:val="left"/>
      <w:pPr>
        <w:ind w:left="465" w:hanging="46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67E470DB"/>
    <w:multiLevelType w:val="multilevel"/>
    <w:tmpl w:val="B2FAA55C"/>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755EAE"/>
    <w:multiLevelType w:val="multilevel"/>
    <w:tmpl w:val="2D045AEC"/>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4E67816"/>
    <w:multiLevelType w:val="multilevel"/>
    <w:tmpl w:val="90D6E0E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6D76A66"/>
    <w:multiLevelType w:val="hybridMultilevel"/>
    <w:tmpl w:val="15C20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7037968"/>
    <w:multiLevelType w:val="multilevel"/>
    <w:tmpl w:val="995A9FE2"/>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497D80"/>
    <w:multiLevelType w:val="hybridMultilevel"/>
    <w:tmpl w:val="BE926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33"/>
  </w:num>
  <w:num w:numId="4">
    <w:abstractNumId w:val="8"/>
  </w:num>
  <w:num w:numId="5">
    <w:abstractNumId w:val="16"/>
  </w:num>
  <w:num w:numId="6">
    <w:abstractNumId w:val="23"/>
  </w:num>
  <w:num w:numId="7">
    <w:abstractNumId w:val="35"/>
  </w:num>
  <w:num w:numId="8">
    <w:abstractNumId w:val="25"/>
  </w:num>
  <w:num w:numId="9">
    <w:abstractNumId w:val="15"/>
  </w:num>
  <w:num w:numId="10">
    <w:abstractNumId w:val="24"/>
  </w:num>
  <w:num w:numId="11">
    <w:abstractNumId w:val="1"/>
  </w:num>
  <w:num w:numId="12">
    <w:abstractNumId w:val="30"/>
  </w:num>
  <w:num w:numId="13">
    <w:abstractNumId w:val="11"/>
  </w:num>
  <w:num w:numId="14">
    <w:abstractNumId w:val="6"/>
  </w:num>
  <w:num w:numId="15">
    <w:abstractNumId w:val="18"/>
  </w:num>
  <w:num w:numId="16">
    <w:abstractNumId w:val="28"/>
  </w:num>
  <w:num w:numId="17">
    <w:abstractNumId w:val="0"/>
  </w:num>
  <w:num w:numId="18">
    <w:abstractNumId w:val="17"/>
  </w:num>
  <w:num w:numId="19">
    <w:abstractNumId w:val="27"/>
  </w:num>
  <w:num w:numId="20">
    <w:abstractNumId w:val="32"/>
  </w:num>
  <w:num w:numId="21">
    <w:abstractNumId w:val="29"/>
  </w:num>
  <w:num w:numId="22">
    <w:abstractNumId w:val="2"/>
  </w:num>
  <w:num w:numId="23">
    <w:abstractNumId w:val="12"/>
  </w:num>
  <w:num w:numId="24">
    <w:abstractNumId w:val="31"/>
  </w:num>
  <w:num w:numId="25">
    <w:abstractNumId w:val="3"/>
  </w:num>
  <w:num w:numId="26">
    <w:abstractNumId w:val="20"/>
  </w:num>
  <w:num w:numId="27">
    <w:abstractNumId w:val="10"/>
  </w:num>
  <w:num w:numId="28">
    <w:abstractNumId w:val="19"/>
  </w:num>
  <w:num w:numId="29">
    <w:abstractNumId w:val="9"/>
  </w:num>
  <w:num w:numId="30">
    <w:abstractNumId w:val="34"/>
  </w:num>
  <w:num w:numId="31">
    <w:abstractNumId w:val="26"/>
  </w:num>
  <w:num w:numId="32">
    <w:abstractNumId w:val="14"/>
  </w:num>
  <w:num w:numId="33">
    <w:abstractNumId w:val="13"/>
  </w:num>
  <w:num w:numId="34">
    <w:abstractNumId w:val="5"/>
  </w:num>
  <w:num w:numId="35">
    <w:abstractNumId w:val="4"/>
  </w:num>
  <w:num w:numId="3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FB"/>
    <w:rsid w:val="000005C3"/>
    <w:rsid w:val="00001E15"/>
    <w:rsid w:val="00002EBF"/>
    <w:rsid w:val="00006682"/>
    <w:rsid w:val="0001084D"/>
    <w:rsid w:val="00012225"/>
    <w:rsid w:val="000129C8"/>
    <w:rsid w:val="000147C6"/>
    <w:rsid w:val="00017607"/>
    <w:rsid w:val="00017876"/>
    <w:rsid w:val="0002001A"/>
    <w:rsid w:val="000212AC"/>
    <w:rsid w:val="00023C88"/>
    <w:rsid w:val="00030918"/>
    <w:rsid w:val="0003303F"/>
    <w:rsid w:val="000332E8"/>
    <w:rsid w:val="000363D7"/>
    <w:rsid w:val="0004155C"/>
    <w:rsid w:val="00041915"/>
    <w:rsid w:val="000422B6"/>
    <w:rsid w:val="000431E3"/>
    <w:rsid w:val="00043629"/>
    <w:rsid w:val="000456C6"/>
    <w:rsid w:val="00047D6F"/>
    <w:rsid w:val="00052B7D"/>
    <w:rsid w:val="000562D1"/>
    <w:rsid w:val="000577B1"/>
    <w:rsid w:val="00060263"/>
    <w:rsid w:val="00062353"/>
    <w:rsid w:val="000633BD"/>
    <w:rsid w:val="00063711"/>
    <w:rsid w:val="00066DF2"/>
    <w:rsid w:val="00067626"/>
    <w:rsid w:val="00071220"/>
    <w:rsid w:val="0007538B"/>
    <w:rsid w:val="0007584F"/>
    <w:rsid w:val="00075903"/>
    <w:rsid w:val="00081C50"/>
    <w:rsid w:val="00081F96"/>
    <w:rsid w:val="000826DA"/>
    <w:rsid w:val="00083643"/>
    <w:rsid w:val="000843AC"/>
    <w:rsid w:val="0008565F"/>
    <w:rsid w:val="00086736"/>
    <w:rsid w:val="00090ADC"/>
    <w:rsid w:val="0009134E"/>
    <w:rsid w:val="00095DE7"/>
    <w:rsid w:val="00097578"/>
    <w:rsid w:val="000A3CB0"/>
    <w:rsid w:val="000A3DD7"/>
    <w:rsid w:val="000A40B2"/>
    <w:rsid w:val="000B1D70"/>
    <w:rsid w:val="000B6049"/>
    <w:rsid w:val="000C1CA2"/>
    <w:rsid w:val="000C2B70"/>
    <w:rsid w:val="000C5CA2"/>
    <w:rsid w:val="000C6006"/>
    <w:rsid w:val="000C729A"/>
    <w:rsid w:val="000C7F29"/>
    <w:rsid w:val="000D1B0A"/>
    <w:rsid w:val="000D228F"/>
    <w:rsid w:val="000D37AF"/>
    <w:rsid w:val="000D54BB"/>
    <w:rsid w:val="000D76AD"/>
    <w:rsid w:val="000E0E56"/>
    <w:rsid w:val="000E3B09"/>
    <w:rsid w:val="000E4C02"/>
    <w:rsid w:val="000F29D1"/>
    <w:rsid w:val="000F3A47"/>
    <w:rsid w:val="000F7BC5"/>
    <w:rsid w:val="00100F60"/>
    <w:rsid w:val="00101073"/>
    <w:rsid w:val="00101E41"/>
    <w:rsid w:val="00104F3A"/>
    <w:rsid w:val="0010599E"/>
    <w:rsid w:val="00110A82"/>
    <w:rsid w:val="00112AC8"/>
    <w:rsid w:val="00115E51"/>
    <w:rsid w:val="001202A5"/>
    <w:rsid w:val="00120E04"/>
    <w:rsid w:val="0012115B"/>
    <w:rsid w:val="0012218B"/>
    <w:rsid w:val="001229BD"/>
    <w:rsid w:val="00122B9E"/>
    <w:rsid w:val="00123CBA"/>
    <w:rsid w:val="001245FE"/>
    <w:rsid w:val="00126AF6"/>
    <w:rsid w:val="00127483"/>
    <w:rsid w:val="00131E99"/>
    <w:rsid w:val="0013537F"/>
    <w:rsid w:val="001366C1"/>
    <w:rsid w:val="0014188E"/>
    <w:rsid w:val="00141D93"/>
    <w:rsid w:val="00142480"/>
    <w:rsid w:val="00144926"/>
    <w:rsid w:val="00146218"/>
    <w:rsid w:val="001524EE"/>
    <w:rsid w:val="001530B6"/>
    <w:rsid w:val="001568D2"/>
    <w:rsid w:val="001577D7"/>
    <w:rsid w:val="00157BE4"/>
    <w:rsid w:val="0016518B"/>
    <w:rsid w:val="001651DA"/>
    <w:rsid w:val="00170A36"/>
    <w:rsid w:val="001719C7"/>
    <w:rsid w:val="00175FD7"/>
    <w:rsid w:val="00177B41"/>
    <w:rsid w:val="00177C64"/>
    <w:rsid w:val="00182655"/>
    <w:rsid w:val="00182AC1"/>
    <w:rsid w:val="0018385A"/>
    <w:rsid w:val="00184DED"/>
    <w:rsid w:val="0019051D"/>
    <w:rsid w:val="0019241A"/>
    <w:rsid w:val="00196FB7"/>
    <w:rsid w:val="001A3655"/>
    <w:rsid w:val="001A45C5"/>
    <w:rsid w:val="001A5634"/>
    <w:rsid w:val="001A58BD"/>
    <w:rsid w:val="001A5AFE"/>
    <w:rsid w:val="001A5E16"/>
    <w:rsid w:val="001B00C6"/>
    <w:rsid w:val="001B1581"/>
    <w:rsid w:val="001B2F07"/>
    <w:rsid w:val="001B7477"/>
    <w:rsid w:val="001C4D15"/>
    <w:rsid w:val="001C4F4E"/>
    <w:rsid w:val="001C7A5F"/>
    <w:rsid w:val="001D3888"/>
    <w:rsid w:val="001E2EC0"/>
    <w:rsid w:val="001E382F"/>
    <w:rsid w:val="001E3E60"/>
    <w:rsid w:val="001E45DA"/>
    <w:rsid w:val="001E68D4"/>
    <w:rsid w:val="001F0615"/>
    <w:rsid w:val="001F0DD2"/>
    <w:rsid w:val="001F481B"/>
    <w:rsid w:val="001F6FB6"/>
    <w:rsid w:val="00200021"/>
    <w:rsid w:val="00200477"/>
    <w:rsid w:val="002053B5"/>
    <w:rsid w:val="00205B83"/>
    <w:rsid w:val="00206C26"/>
    <w:rsid w:val="00207B0D"/>
    <w:rsid w:val="00212583"/>
    <w:rsid w:val="002135A1"/>
    <w:rsid w:val="00214E70"/>
    <w:rsid w:val="00216482"/>
    <w:rsid w:val="00217228"/>
    <w:rsid w:val="002229C5"/>
    <w:rsid w:val="00223CCD"/>
    <w:rsid w:val="00231733"/>
    <w:rsid w:val="0023346C"/>
    <w:rsid w:val="00233D5D"/>
    <w:rsid w:val="00235C34"/>
    <w:rsid w:val="00236244"/>
    <w:rsid w:val="00236E13"/>
    <w:rsid w:val="002374A8"/>
    <w:rsid w:val="002379BE"/>
    <w:rsid w:val="00242FFA"/>
    <w:rsid w:val="00244206"/>
    <w:rsid w:val="002449E8"/>
    <w:rsid w:val="00244F69"/>
    <w:rsid w:val="00251F5B"/>
    <w:rsid w:val="002529C2"/>
    <w:rsid w:val="00254371"/>
    <w:rsid w:val="00254DEE"/>
    <w:rsid w:val="00256538"/>
    <w:rsid w:val="00260498"/>
    <w:rsid w:val="002605CC"/>
    <w:rsid w:val="0026071D"/>
    <w:rsid w:val="00262A39"/>
    <w:rsid w:val="0026349A"/>
    <w:rsid w:val="002637EB"/>
    <w:rsid w:val="002646DC"/>
    <w:rsid w:val="0026639C"/>
    <w:rsid w:val="00267344"/>
    <w:rsid w:val="002677EC"/>
    <w:rsid w:val="00270438"/>
    <w:rsid w:val="00272F2A"/>
    <w:rsid w:val="00273B70"/>
    <w:rsid w:val="00273D42"/>
    <w:rsid w:val="0027505B"/>
    <w:rsid w:val="00276BA5"/>
    <w:rsid w:val="002771A8"/>
    <w:rsid w:val="0028069D"/>
    <w:rsid w:val="00280B5A"/>
    <w:rsid w:val="0028148B"/>
    <w:rsid w:val="00282DF4"/>
    <w:rsid w:val="00283A7C"/>
    <w:rsid w:val="00283B33"/>
    <w:rsid w:val="00283D6F"/>
    <w:rsid w:val="002843E5"/>
    <w:rsid w:val="002877AF"/>
    <w:rsid w:val="00290AE3"/>
    <w:rsid w:val="00293A67"/>
    <w:rsid w:val="00293C55"/>
    <w:rsid w:val="00294EE1"/>
    <w:rsid w:val="00296117"/>
    <w:rsid w:val="002A02B7"/>
    <w:rsid w:val="002A18C0"/>
    <w:rsid w:val="002A21BA"/>
    <w:rsid w:val="002A48DF"/>
    <w:rsid w:val="002A580E"/>
    <w:rsid w:val="002A624B"/>
    <w:rsid w:val="002A7F2B"/>
    <w:rsid w:val="002B15F1"/>
    <w:rsid w:val="002B1DDB"/>
    <w:rsid w:val="002B1F48"/>
    <w:rsid w:val="002B399C"/>
    <w:rsid w:val="002C60DA"/>
    <w:rsid w:val="002C6116"/>
    <w:rsid w:val="002C715B"/>
    <w:rsid w:val="002D10BA"/>
    <w:rsid w:val="002D1FCF"/>
    <w:rsid w:val="002D264A"/>
    <w:rsid w:val="002D2D9A"/>
    <w:rsid w:val="002D3155"/>
    <w:rsid w:val="002D5E4F"/>
    <w:rsid w:val="002D6CD2"/>
    <w:rsid w:val="002D77D3"/>
    <w:rsid w:val="002E09F2"/>
    <w:rsid w:val="002E441C"/>
    <w:rsid w:val="002E532F"/>
    <w:rsid w:val="002E5BA2"/>
    <w:rsid w:val="002E6759"/>
    <w:rsid w:val="002F0540"/>
    <w:rsid w:val="002F30B9"/>
    <w:rsid w:val="002F4D94"/>
    <w:rsid w:val="002F53BF"/>
    <w:rsid w:val="002F695A"/>
    <w:rsid w:val="002F7337"/>
    <w:rsid w:val="00300071"/>
    <w:rsid w:val="003013AA"/>
    <w:rsid w:val="0030143F"/>
    <w:rsid w:val="00302039"/>
    <w:rsid w:val="00302928"/>
    <w:rsid w:val="00305B33"/>
    <w:rsid w:val="00305B91"/>
    <w:rsid w:val="003069C6"/>
    <w:rsid w:val="00307C5B"/>
    <w:rsid w:val="00313579"/>
    <w:rsid w:val="00313B3F"/>
    <w:rsid w:val="00314DA7"/>
    <w:rsid w:val="003219C7"/>
    <w:rsid w:val="00321E3D"/>
    <w:rsid w:val="00322989"/>
    <w:rsid w:val="003249F2"/>
    <w:rsid w:val="003253BA"/>
    <w:rsid w:val="00331823"/>
    <w:rsid w:val="003334D1"/>
    <w:rsid w:val="00334759"/>
    <w:rsid w:val="00337F00"/>
    <w:rsid w:val="00340AB9"/>
    <w:rsid w:val="00341BCD"/>
    <w:rsid w:val="00344CA1"/>
    <w:rsid w:val="003450D9"/>
    <w:rsid w:val="00346BCB"/>
    <w:rsid w:val="003475D8"/>
    <w:rsid w:val="0035177F"/>
    <w:rsid w:val="00354550"/>
    <w:rsid w:val="00356BFB"/>
    <w:rsid w:val="00361122"/>
    <w:rsid w:val="0036171C"/>
    <w:rsid w:val="003653DB"/>
    <w:rsid w:val="00371027"/>
    <w:rsid w:val="003710D9"/>
    <w:rsid w:val="00371F58"/>
    <w:rsid w:val="00373FEC"/>
    <w:rsid w:val="0037456E"/>
    <w:rsid w:val="003756B8"/>
    <w:rsid w:val="00375BDC"/>
    <w:rsid w:val="0037678B"/>
    <w:rsid w:val="0037796B"/>
    <w:rsid w:val="00380E36"/>
    <w:rsid w:val="00381C1D"/>
    <w:rsid w:val="00382E37"/>
    <w:rsid w:val="00383CAF"/>
    <w:rsid w:val="003854F5"/>
    <w:rsid w:val="00386B50"/>
    <w:rsid w:val="003876EC"/>
    <w:rsid w:val="0039189A"/>
    <w:rsid w:val="00395314"/>
    <w:rsid w:val="00395691"/>
    <w:rsid w:val="003959DA"/>
    <w:rsid w:val="003970DA"/>
    <w:rsid w:val="003978E3"/>
    <w:rsid w:val="003A3F50"/>
    <w:rsid w:val="003A636D"/>
    <w:rsid w:val="003B3161"/>
    <w:rsid w:val="003B7048"/>
    <w:rsid w:val="003C0B7C"/>
    <w:rsid w:val="003C17FF"/>
    <w:rsid w:val="003C258D"/>
    <w:rsid w:val="003C27EA"/>
    <w:rsid w:val="003C64D8"/>
    <w:rsid w:val="003C66E6"/>
    <w:rsid w:val="003C73AC"/>
    <w:rsid w:val="003C7904"/>
    <w:rsid w:val="003C7B0B"/>
    <w:rsid w:val="003D0420"/>
    <w:rsid w:val="003D2508"/>
    <w:rsid w:val="003D4B54"/>
    <w:rsid w:val="003E0822"/>
    <w:rsid w:val="003E1696"/>
    <w:rsid w:val="003E66D0"/>
    <w:rsid w:val="003E6FB6"/>
    <w:rsid w:val="003F3404"/>
    <w:rsid w:val="003F51B3"/>
    <w:rsid w:val="003F5DF3"/>
    <w:rsid w:val="003F7D28"/>
    <w:rsid w:val="0040358B"/>
    <w:rsid w:val="004036D1"/>
    <w:rsid w:val="00406E8C"/>
    <w:rsid w:val="00407C91"/>
    <w:rsid w:val="00411B70"/>
    <w:rsid w:val="00411CBB"/>
    <w:rsid w:val="00412E1F"/>
    <w:rsid w:val="00413581"/>
    <w:rsid w:val="00413A16"/>
    <w:rsid w:val="00413B1F"/>
    <w:rsid w:val="00414723"/>
    <w:rsid w:val="004155CB"/>
    <w:rsid w:val="00417005"/>
    <w:rsid w:val="004178A6"/>
    <w:rsid w:val="004204BD"/>
    <w:rsid w:val="0042093E"/>
    <w:rsid w:val="00424E05"/>
    <w:rsid w:val="00425950"/>
    <w:rsid w:val="00433A49"/>
    <w:rsid w:val="00433D1A"/>
    <w:rsid w:val="004346F7"/>
    <w:rsid w:val="004350F7"/>
    <w:rsid w:val="004358C2"/>
    <w:rsid w:val="00440356"/>
    <w:rsid w:val="0044186D"/>
    <w:rsid w:val="00441A0E"/>
    <w:rsid w:val="004522F2"/>
    <w:rsid w:val="0045429A"/>
    <w:rsid w:val="00455143"/>
    <w:rsid w:val="004552D7"/>
    <w:rsid w:val="0046513E"/>
    <w:rsid w:val="0046700F"/>
    <w:rsid w:val="00474915"/>
    <w:rsid w:val="004803F1"/>
    <w:rsid w:val="00480BA3"/>
    <w:rsid w:val="00482A64"/>
    <w:rsid w:val="004834E9"/>
    <w:rsid w:val="00491B46"/>
    <w:rsid w:val="00493C8D"/>
    <w:rsid w:val="00494A40"/>
    <w:rsid w:val="00497984"/>
    <w:rsid w:val="004A1806"/>
    <w:rsid w:val="004A1FE8"/>
    <w:rsid w:val="004A2E20"/>
    <w:rsid w:val="004A3847"/>
    <w:rsid w:val="004B4293"/>
    <w:rsid w:val="004C0433"/>
    <w:rsid w:val="004C71AB"/>
    <w:rsid w:val="004C74BB"/>
    <w:rsid w:val="004C785B"/>
    <w:rsid w:val="004D0E2A"/>
    <w:rsid w:val="004D1177"/>
    <w:rsid w:val="004D4DD5"/>
    <w:rsid w:val="004D5413"/>
    <w:rsid w:val="004D7449"/>
    <w:rsid w:val="004E0BFF"/>
    <w:rsid w:val="004E2832"/>
    <w:rsid w:val="004E2BE6"/>
    <w:rsid w:val="004E368C"/>
    <w:rsid w:val="004F3706"/>
    <w:rsid w:val="004F4836"/>
    <w:rsid w:val="004F5E3B"/>
    <w:rsid w:val="005001C8"/>
    <w:rsid w:val="00500BBF"/>
    <w:rsid w:val="005037AB"/>
    <w:rsid w:val="005116AB"/>
    <w:rsid w:val="005120BF"/>
    <w:rsid w:val="00524DC6"/>
    <w:rsid w:val="005269EC"/>
    <w:rsid w:val="0052714C"/>
    <w:rsid w:val="00530AEA"/>
    <w:rsid w:val="00534B6B"/>
    <w:rsid w:val="005412A4"/>
    <w:rsid w:val="00541814"/>
    <w:rsid w:val="00542174"/>
    <w:rsid w:val="005432F8"/>
    <w:rsid w:val="00545FDA"/>
    <w:rsid w:val="00546047"/>
    <w:rsid w:val="0055307A"/>
    <w:rsid w:val="005543EC"/>
    <w:rsid w:val="005607D9"/>
    <w:rsid w:val="00560E8D"/>
    <w:rsid w:val="005612B1"/>
    <w:rsid w:val="00561FDC"/>
    <w:rsid w:val="00564A02"/>
    <w:rsid w:val="005665AB"/>
    <w:rsid w:val="00570304"/>
    <w:rsid w:val="005717C9"/>
    <w:rsid w:val="005742ED"/>
    <w:rsid w:val="00574F52"/>
    <w:rsid w:val="005750F1"/>
    <w:rsid w:val="00576C98"/>
    <w:rsid w:val="005819E6"/>
    <w:rsid w:val="005820A5"/>
    <w:rsid w:val="0058354D"/>
    <w:rsid w:val="005855B5"/>
    <w:rsid w:val="00586357"/>
    <w:rsid w:val="00590454"/>
    <w:rsid w:val="00590DCC"/>
    <w:rsid w:val="00591107"/>
    <w:rsid w:val="00591250"/>
    <w:rsid w:val="00592238"/>
    <w:rsid w:val="00592709"/>
    <w:rsid w:val="0059299C"/>
    <w:rsid w:val="00593DB8"/>
    <w:rsid w:val="0059596C"/>
    <w:rsid w:val="0059645E"/>
    <w:rsid w:val="005A1A17"/>
    <w:rsid w:val="005A6066"/>
    <w:rsid w:val="005A67A0"/>
    <w:rsid w:val="005A6AE8"/>
    <w:rsid w:val="005A7961"/>
    <w:rsid w:val="005A7A20"/>
    <w:rsid w:val="005B00F1"/>
    <w:rsid w:val="005B174A"/>
    <w:rsid w:val="005B3D88"/>
    <w:rsid w:val="005B5863"/>
    <w:rsid w:val="005B6B39"/>
    <w:rsid w:val="005B6BDC"/>
    <w:rsid w:val="005B6FE0"/>
    <w:rsid w:val="005C3499"/>
    <w:rsid w:val="005C4F68"/>
    <w:rsid w:val="005C70F7"/>
    <w:rsid w:val="005C77D9"/>
    <w:rsid w:val="005D028C"/>
    <w:rsid w:val="005D2951"/>
    <w:rsid w:val="005D3FA2"/>
    <w:rsid w:val="005D5FE9"/>
    <w:rsid w:val="005E29A0"/>
    <w:rsid w:val="005E2B52"/>
    <w:rsid w:val="005E7722"/>
    <w:rsid w:val="005E7C76"/>
    <w:rsid w:val="005E7C80"/>
    <w:rsid w:val="005F0CFE"/>
    <w:rsid w:val="005F16A4"/>
    <w:rsid w:val="005F266B"/>
    <w:rsid w:val="005F3232"/>
    <w:rsid w:val="00602F0F"/>
    <w:rsid w:val="00603096"/>
    <w:rsid w:val="0060554B"/>
    <w:rsid w:val="00612466"/>
    <w:rsid w:val="0061269D"/>
    <w:rsid w:val="006134B8"/>
    <w:rsid w:val="006137DF"/>
    <w:rsid w:val="006141AD"/>
    <w:rsid w:val="00617DF0"/>
    <w:rsid w:val="006217FA"/>
    <w:rsid w:val="006243A5"/>
    <w:rsid w:val="006253ED"/>
    <w:rsid w:val="00631676"/>
    <w:rsid w:val="00632334"/>
    <w:rsid w:val="00632925"/>
    <w:rsid w:val="00632C75"/>
    <w:rsid w:val="00632F5B"/>
    <w:rsid w:val="00634890"/>
    <w:rsid w:val="0063576B"/>
    <w:rsid w:val="006373CF"/>
    <w:rsid w:val="00640B4C"/>
    <w:rsid w:val="0064124D"/>
    <w:rsid w:val="0064147D"/>
    <w:rsid w:val="006414F4"/>
    <w:rsid w:val="00642A4C"/>
    <w:rsid w:val="00643F02"/>
    <w:rsid w:val="00646C06"/>
    <w:rsid w:val="006501FF"/>
    <w:rsid w:val="00650EBD"/>
    <w:rsid w:val="0065487D"/>
    <w:rsid w:val="00655B73"/>
    <w:rsid w:val="006563AF"/>
    <w:rsid w:val="00657149"/>
    <w:rsid w:val="006602D3"/>
    <w:rsid w:val="006604F3"/>
    <w:rsid w:val="00661EE5"/>
    <w:rsid w:val="006650A4"/>
    <w:rsid w:val="00667866"/>
    <w:rsid w:val="006711A5"/>
    <w:rsid w:val="006714BB"/>
    <w:rsid w:val="0067163E"/>
    <w:rsid w:val="00671B92"/>
    <w:rsid w:val="006720AD"/>
    <w:rsid w:val="00673A3A"/>
    <w:rsid w:val="00674631"/>
    <w:rsid w:val="00675A1D"/>
    <w:rsid w:val="00682598"/>
    <w:rsid w:val="0068279D"/>
    <w:rsid w:val="006841A4"/>
    <w:rsid w:val="006853CF"/>
    <w:rsid w:val="006869E7"/>
    <w:rsid w:val="00687245"/>
    <w:rsid w:val="006876DF"/>
    <w:rsid w:val="006878DF"/>
    <w:rsid w:val="00692345"/>
    <w:rsid w:val="00692990"/>
    <w:rsid w:val="006A25D0"/>
    <w:rsid w:val="006A36C6"/>
    <w:rsid w:val="006A629D"/>
    <w:rsid w:val="006A654E"/>
    <w:rsid w:val="006A6B8E"/>
    <w:rsid w:val="006B0AA4"/>
    <w:rsid w:val="006B131D"/>
    <w:rsid w:val="006B14C2"/>
    <w:rsid w:val="006B320F"/>
    <w:rsid w:val="006B59B3"/>
    <w:rsid w:val="006B72A8"/>
    <w:rsid w:val="006C479F"/>
    <w:rsid w:val="006C480F"/>
    <w:rsid w:val="006C5A90"/>
    <w:rsid w:val="006C6157"/>
    <w:rsid w:val="006D246D"/>
    <w:rsid w:val="006D3C93"/>
    <w:rsid w:val="006D4D60"/>
    <w:rsid w:val="006D54F7"/>
    <w:rsid w:val="006D6788"/>
    <w:rsid w:val="006E26D8"/>
    <w:rsid w:val="006E332C"/>
    <w:rsid w:val="006E41CC"/>
    <w:rsid w:val="006E455B"/>
    <w:rsid w:val="006E58D5"/>
    <w:rsid w:val="006E6B02"/>
    <w:rsid w:val="006E6B3F"/>
    <w:rsid w:val="006F208F"/>
    <w:rsid w:val="006F3C69"/>
    <w:rsid w:val="006F43D3"/>
    <w:rsid w:val="00700F86"/>
    <w:rsid w:val="00701BB3"/>
    <w:rsid w:val="0070248B"/>
    <w:rsid w:val="00704BB5"/>
    <w:rsid w:val="007061C6"/>
    <w:rsid w:val="00715847"/>
    <w:rsid w:val="007158D6"/>
    <w:rsid w:val="00715B4A"/>
    <w:rsid w:val="007179CB"/>
    <w:rsid w:val="00717CB1"/>
    <w:rsid w:val="007202BB"/>
    <w:rsid w:val="00720BFF"/>
    <w:rsid w:val="007262F9"/>
    <w:rsid w:val="00727673"/>
    <w:rsid w:val="00730B82"/>
    <w:rsid w:val="00731553"/>
    <w:rsid w:val="00732830"/>
    <w:rsid w:val="0073321C"/>
    <w:rsid w:val="0073333C"/>
    <w:rsid w:val="0074040D"/>
    <w:rsid w:val="00741134"/>
    <w:rsid w:val="00742F5B"/>
    <w:rsid w:val="0074440C"/>
    <w:rsid w:val="00744F84"/>
    <w:rsid w:val="0074541A"/>
    <w:rsid w:val="0075242A"/>
    <w:rsid w:val="00752AD4"/>
    <w:rsid w:val="00752D68"/>
    <w:rsid w:val="00754550"/>
    <w:rsid w:val="007566BC"/>
    <w:rsid w:val="00764739"/>
    <w:rsid w:val="00765137"/>
    <w:rsid w:val="00766CEC"/>
    <w:rsid w:val="00767F82"/>
    <w:rsid w:val="00770024"/>
    <w:rsid w:val="007716AA"/>
    <w:rsid w:val="007726FB"/>
    <w:rsid w:val="0077421F"/>
    <w:rsid w:val="00776485"/>
    <w:rsid w:val="00776F03"/>
    <w:rsid w:val="0078354F"/>
    <w:rsid w:val="00784B6A"/>
    <w:rsid w:val="007902D6"/>
    <w:rsid w:val="0079350F"/>
    <w:rsid w:val="00793E2B"/>
    <w:rsid w:val="007942A7"/>
    <w:rsid w:val="00797094"/>
    <w:rsid w:val="007A022F"/>
    <w:rsid w:val="007A7251"/>
    <w:rsid w:val="007B053E"/>
    <w:rsid w:val="007B1407"/>
    <w:rsid w:val="007B26F2"/>
    <w:rsid w:val="007B331E"/>
    <w:rsid w:val="007B4876"/>
    <w:rsid w:val="007B4F2D"/>
    <w:rsid w:val="007B5F65"/>
    <w:rsid w:val="007C4856"/>
    <w:rsid w:val="007D197D"/>
    <w:rsid w:val="007D27A0"/>
    <w:rsid w:val="007D46F2"/>
    <w:rsid w:val="007D4BB0"/>
    <w:rsid w:val="007D60CB"/>
    <w:rsid w:val="007E0884"/>
    <w:rsid w:val="007E0B9B"/>
    <w:rsid w:val="007E3132"/>
    <w:rsid w:val="007E3D59"/>
    <w:rsid w:val="007E6C5A"/>
    <w:rsid w:val="007E6F1F"/>
    <w:rsid w:val="007F0C21"/>
    <w:rsid w:val="007F3E89"/>
    <w:rsid w:val="007F7421"/>
    <w:rsid w:val="0080118D"/>
    <w:rsid w:val="008020DF"/>
    <w:rsid w:val="0080360D"/>
    <w:rsid w:val="0081126E"/>
    <w:rsid w:val="00811940"/>
    <w:rsid w:val="00812EB0"/>
    <w:rsid w:val="00814C88"/>
    <w:rsid w:val="00816146"/>
    <w:rsid w:val="00820E06"/>
    <w:rsid w:val="00822BCC"/>
    <w:rsid w:val="00822E96"/>
    <w:rsid w:val="008258DA"/>
    <w:rsid w:val="008274BF"/>
    <w:rsid w:val="00827DFC"/>
    <w:rsid w:val="0083298D"/>
    <w:rsid w:val="00835D59"/>
    <w:rsid w:val="0084337C"/>
    <w:rsid w:val="008435CC"/>
    <w:rsid w:val="00844EC7"/>
    <w:rsid w:val="00845DC1"/>
    <w:rsid w:val="008461B6"/>
    <w:rsid w:val="00850D9E"/>
    <w:rsid w:val="00851CF3"/>
    <w:rsid w:val="008534BA"/>
    <w:rsid w:val="008607F0"/>
    <w:rsid w:val="00860E8A"/>
    <w:rsid w:val="00862BC1"/>
    <w:rsid w:val="00864A56"/>
    <w:rsid w:val="00864E2B"/>
    <w:rsid w:val="00865FCE"/>
    <w:rsid w:val="0086698C"/>
    <w:rsid w:val="00866E37"/>
    <w:rsid w:val="0086779D"/>
    <w:rsid w:val="00871E84"/>
    <w:rsid w:val="00873E8B"/>
    <w:rsid w:val="0087439E"/>
    <w:rsid w:val="00876A60"/>
    <w:rsid w:val="0087738C"/>
    <w:rsid w:val="0088207B"/>
    <w:rsid w:val="00882ADF"/>
    <w:rsid w:val="008833D6"/>
    <w:rsid w:val="0089018B"/>
    <w:rsid w:val="0089120B"/>
    <w:rsid w:val="00896174"/>
    <w:rsid w:val="008A0237"/>
    <w:rsid w:val="008A701B"/>
    <w:rsid w:val="008A72BC"/>
    <w:rsid w:val="008A783C"/>
    <w:rsid w:val="008B2F1D"/>
    <w:rsid w:val="008C0A5E"/>
    <w:rsid w:val="008C2F98"/>
    <w:rsid w:val="008C61D6"/>
    <w:rsid w:val="008C68A2"/>
    <w:rsid w:val="008C73D0"/>
    <w:rsid w:val="008C7B54"/>
    <w:rsid w:val="008C7BF5"/>
    <w:rsid w:val="008D4D6C"/>
    <w:rsid w:val="008E2B2C"/>
    <w:rsid w:val="008E39B7"/>
    <w:rsid w:val="008E5CE6"/>
    <w:rsid w:val="008E704F"/>
    <w:rsid w:val="008F283B"/>
    <w:rsid w:val="008F49C2"/>
    <w:rsid w:val="008F4D27"/>
    <w:rsid w:val="008F6B2D"/>
    <w:rsid w:val="009054C8"/>
    <w:rsid w:val="009109D6"/>
    <w:rsid w:val="00911A20"/>
    <w:rsid w:val="00914184"/>
    <w:rsid w:val="00915B68"/>
    <w:rsid w:val="009161AD"/>
    <w:rsid w:val="00922D42"/>
    <w:rsid w:val="00923692"/>
    <w:rsid w:val="00925C05"/>
    <w:rsid w:val="009333B0"/>
    <w:rsid w:val="00937F1F"/>
    <w:rsid w:val="00940B81"/>
    <w:rsid w:val="00941BA1"/>
    <w:rsid w:val="00943893"/>
    <w:rsid w:val="009455B4"/>
    <w:rsid w:val="0094704C"/>
    <w:rsid w:val="00950CEF"/>
    <w:rsid w:val="00950E0C"/>
    <w:rsid w:val="009530EA"/>
    <w:rsid w:val="00954096"/>
    <w:rsid w:val="009543A3"/>
    <w:rsid w:val="00956822"/>
    <w:rsid w:val="009607A2"/>
    <w:rsid w:val="00960DF7"/>
    <w:rsid w:val="009642C1"/>
    <w:rsid w:val="009667ED"/>
    <w:rsid w:val="00973F29"/>
    <w:rsid w:val="00976210"/>
    <w:rsid w:val="00980B13"/>
    <w:rsid w:val="00982D0D"/>
    <w:rsid w:val="00982EA8"/>
    <w:rsid w:val="009835F0"/>
    <w:rsid w:val="00984147"/>
    <w:rsid w:val="009842C5"/>
    <w:rsid w:val="00984DAE"/>
    <w:rsid w:val="00985C44"/>
    <w:rsid w:val="00986284"/>
    <w:rsid w:val="00986ADF"/>
    <w:rsid w:val="00991CA5"/>
    <w:rsid w:val="00991D52"/>
    <w:rsid w:val="0099220B"/>
    <w:rsid w:val="00994E8C"/>
    <w:rsid w:val="00994EE5"/>
    <w:rsid w:val="00997186"/>
    <w:rsid w:val="009A36A6"/>
    <w:rsid w:val="009A7941"/>
    <w:rsid w:val="009B0AF8"/>
    <w:rsid w:val="009B335D"/>
    <w:rsid w:val="009B43E2"/>
    <w:rsid w:val="009B770B"/>
    <w:rsid w:val="009B7CE0"/>
    <w:rsid w:val="009C230E"/>
    <w:rsid w:val="009C2F56"/>
    <w:rsid w:val="009C5F75"/>
    <w:rsid w:val="009D0779"/>
    <w:rsid w:val="009D4014"/>
    <w:rsid w:val="009D6536"/>
    <w:rsid w:val="009D6D5B"/>
    <w:rsid w:val="009D6EE0"/>
    <w:rsid w:val="009D6F28"/>
    <w:rsid w:val="009E2CC4"/>
    <w:rsid w:val="009E6EE7"/>
    <w:rsid w:val="009F2FB0"/>
    <w:rsid w:val="009F3490"/>
    <w:rsid w:val="009F52C4"/>
    <w:rsid w:val="009F6733"/>
    <w:rsid w:val="00A02BA8"/>
    <w:rsid w:val="00A02D1F"/>
    <w:rsid w:val="00A054AF"/>
    <w:rsid w:val="00A05B61"/>
    <w:rsid w:val="00A111D4"/>
    <w:rsid w:val="00A11968"/>
    <w:rsid w:val="00A1262D"/>
    <w:rsid w:val="00A16465"/>
    <w:rsid w:val="00A16842"/>
    <w:rsid w:val="00A16D49"/>
    <w:rsid w:val="00A21019"/>
    <w:rsid w:val="00A222B9"/>
    <w:rsid w:val="00A22BCF"/>
    <w:rsid w:val="00A2301E"/>
    <w:rsid w:val="00A245CE"/>
    <w:rsid w:val="00A25E3D"/>
    <w:rsid w:val="00A25FA6"/>
    <w:rsid w:val="00A30984"/>
    <w:rsid w:val="00A312C3"/>
    <w:rsid w:val="00A31CDB"/>
    <w:rsid w:val="00A340EA"/>
    <w:rsid w:val="00A34D6A"/>
    <w:rsid w:val="00A3575E"/>
    <w:rsid w:val="00A35DC1"/>
    <w:rsid w:val="00A4048B"/>
    <w:rsid w:val="00A40DE5"/>
    <w:rsid w:val="00A418BA"/>
    <w:rsid w:val="00A41EF5"/>
    <w:rsid w:val="00A421B8"/>
    <w:rsid w:val="00A50044"/>
    <w:rsid w:val="00A528AF"/>
    <w:rsid w:val="00A578FB"/>
    <w:rsid w:val="00A57D2D"/>
    <w:rsid w:val="00A601EC"/>
    <w:rsid w:val="00A620EF"/>
    <w:rsid w:val="00A6530D"/>
    <w:rsid w:val="00A65389"/>
    <w:rsid w:val="00A65665"/>
    <w:rsid w:val="00A70C2C"/>
    <w:rsid w:val="00A70C39"/>
    <w:rsid w:val="00A73239"/>
    <w:rsid w:val="00A73390"/>
    <w:rsid w:val="00A73457"/>
    <w:rsid w:val="00A7446B"/>
    <w:rsid w:val="00A75C05"/>
    <w:rsid w:val="00A75DC2"/>
    <w:rsid w:val="00A8202C"/>
    <w:rsid w:val="00A838E2"/>
    <w:rsid w:val="00A867DD"/>
    <w:rsid w:val="00A877DC"/>
    <w:rsid w:val="00A879C5"/>
    <w:rsid w:val="00A90A45"/>
    <w:rsid w:val="00A9103D"/>
    <w:rsid w:val="00A92A7B"/>
    <w:rsid w:val="00A93A0E"/>
    <w:rsid w:val="00A93C0F"/>
    <w:rsid w:val="00A93CE7"/>
    <w:rsid w:val="00A94026"/>
    <w:rsid w:val="00A9560F"/>
    <w:rsid w:val="00A96AA7"/>
    <w:rsid w:val="00AA3E84"/>
    <w:rsid w:val="00AA5E47"/>
    <w:rsid w:val="00AB2E5E"/>
    <w:rsid w:val="00AB7677"/>
    <w:rsid w:val="00AC01C9"/>
    <w:rsid w:val="00AC100B"/>
    <w:rsid w:val="00AC1DFD"/>
    <w:rsid w:val="00AC2146"/>
    <w:rsid w:val="00AC3C98"/>
    <w:rsid w:val="00AC52EF"/>
    <w:rsid w:val="00AD107F"/>
    <w:rsid w:val="00AD28F4"/>
    <w:rsid w:val="00AD4D52"/>
    <w:rsid w:val="00AD7B34"/>
    <w:rsid w:val="00AE12FF"/>
    <w:rsid w:val="00AE1907"/>
    <w:rsid w:val="00AE563B"/>
    <w:rsid w:val="00AE6DEA"/>
    <w:rsid w:val="00AE7B27"/>
    <w:rsid w:val="00AF2222"/>
    <w:rsid w:val="00AF2595"/>
    <w:rsid w:val="00AF2BBD"/>
    <w:rsid w:val="00AF3596"/>
    <w:rsid w:val="00AF381C"/>
    <w:rsid w:val="00AF6C7D"/>
    <w:rsid w:val="00AF7B3E"/>
    <w:rsid w:val="00B02A08"/>
    <w:rsid w:val="00B05E61"/>
    <w:rsid w:val="00B13A2E"/>
    <w:rsid w:val="00B13D37"/>
    <w:rsid w:val="00B15334"/>
    <w:rsid w:val="00B2241C"/>
    <w:rsid w:val="00B242A1"/>
    <w:rsid w:val="00B26A7C"/>
    <w:rsid w:val="00B30A28"/>
    <w:rsid w:val="00B312EB"/>
    <w:rsid w:val="00B33B92"/>
    <w:rsid w:val="00B378F6"/>
    <w:rsid w:val="00B40973"/>
    <w:rsid w:val="00B4308A"/>
    <w:rsid w:val="00B432F2"/>
    <w:rsid w:val="00B4594A"/>
    <w:rsid w:val="00B47097"/>
    <w:rsid w:val="00B47C95"/>
    <w:rsid w:val="00B507D8"/>
    <w:rsid w:val="00B54631"/>
    <w:rsid w:val="00B57616"/>
    <w:rsid w:val="00B609E5"/>
    <w:rsid w:val="00B6191D"/>
    <w:rsid w:val="00B636D7"/>
    <w:rsid w:val="00B642AE"/>
    <w:rsid w:val="00B66018"/>
    <w:rsid w:val="00B70FF6"/>
    <w:rsid w:val="00B72431"/>
    <w:rsid w:val="00B74902"/>
    <w:rsid w:val="00B75652"/>
    <w:rsid w:val="00B80463"/>
    <w:rsid w:val="00B80D06"/>
    <w:rsid w:val="00B82D4D"/>
    <w:rsid w:val="00B87B0F"/>
    <w:rsid w:val="00B91686"/>
    <w:rsid w:val="00B953C3"/>
    <w:rsid w:val="00B96E3A"/>
    <w:rsid w:val="00B97337"/>
    <w:rsid w:val="00BA2C8D"/>
    <w:rsid w:val="00BA38FC"/>
    <w:rsid w:val="00BA4995"/>
    <w:rsid w:val="00BA7344"/>
    <w:rsid w:val="00BB0C8D"/>
    <w:rsid w:val="00BB75C5"/>
    <w:rsid w:val="00BC5084"/>
    <w:rsid w:val="00BC5A86"/>
    <w:rsid w:val="00BC717B"/>
    <w:rsid w:val="00BC7911"/>
    <w:rsid w:val="00BC7CE2"/>
    <w:rsid w:val="00BD1D7D"/>
    <w:rsid w:val="00BD2C97"/>
    <w:rsid w:val="00BD51F5"/>
    <w:rsid w:val="00BE050A"/>
    <w:rsid w:val="00BE3437"/>
    <w:rsid w:val="00BE66E6"/>
    <w:rsid w:val="00BE6880"/>
    <w:rsid w:val="00BE734C"/>
    <w:rsid w:val="00BE7DD3"/>
    <w:rsid w:val="00BF4EF6"/>
    <w:rsid w:val="00BF5E77"/>
    <w:rsid w:val="00BF7164"/>
    <w:rsid w:val="00BF7FCE"/>
    <w:rsid w:val="00C00720"/>
    <w:rsid w:val="00C00C01"/>
    <w:rsid w:val="00C037CE"/>
    <w:rsid w:val="00C04100"/>
    <w:rsid w:val="00C06B80"/>
    <w:rsid w:val="00C07AF1"/>
    <w:rsid w:val="00C07B44"/>
    <w:rsid w:val="00C10BBD"/>
    <w:rsid w:val="00C10EBD"/>
    <w:rsid w:val="00C122DA"/>
    <w:rsid w:val="00C147C4"/>
    <w:rsid w:val="00C1663A"/>
    <w:rsid w:val="00C24866"/>
    <w:rsid w:val="00C25586"/>
    <w:rsid w:val="00C25835"/>
    <w:rsid w:val="00C26060"/>
    <w:rsid w:val="00C26D29"/>
    <w:rsid w:val="00C2728B"/>
    <w:rsid w:val="00C30D85"/>
    <w:rsid w:val="00C31508"/>
    <w:rsid w:val="00C32A7D"/>
    <w:rsid w:val="00C3363A"/>
    <w:rsid w:val="00C505F0"/>
    <w:rsid w:val="00C547D1"/>
    <w:rsid w:val="00C54865"/>
    <w:rsid w:val="00C551D8"/>
    <w:rsid w:val="00C61EDA"/>
    <w:rsid w:val="00C67D80"/>
    <w:rsid w:val="00C7088E"/>
    <w:rsid w:val="00C75422"/>
    <w:rsid w:val="00C76EA3"/>
    <w:rsid w:val="00C8168A"/>
    <w:rsid w:val="00C83E28"/>
    <w:rsid w:val="00C85ED0"/>
    <w:rsid w:val="00C8764A"/>
    <w:rsid w:val="00C90286"/>
    <w:rsid w:val="00C91578"/>
    <w:rsid w:val="00C929D5"/>
    <w:rsid w:val="00C94D95"/>
    <w:rsid w:val="00C96A56"/>
    <w:rsid w:val="00CA0FD5"/>
    <w:rsid w:val="00CA176E"/>
    <w:rsid w:val="00CA1F8C"/>
    <w:rsid w:val="00CA27CB"/>
    <w:rsid w:val="00CA2F93"/>
    <w:rsid w:val="00CA6919"/>
    <w:rsid w:val="00CA6D08"/>
    <w:rsid w:val="00CA7599"/>
    <w:rsid w:val="00CA77B0"/>
    <w:rsid w:val="00CA77C7"/>
    <w:rsid w:val="00CB0759"/>
    <w:rsid w:val="00CB197B"/>
    <w:rsid w:val="00CB20E8"/>
    <w:rsid w:val="00CB29BD"/>
    <w:rsid w:val="00CB4708"/>
    <w:rsid w:val="00CB49C0"/>
    <w:rsid w:val="00CC094F"/>
    <w:rsid w:val="00CC1152"/>
    <w:rsid w:val="00CC2121"/>
    <w:rsid w:val="00CC2350"/>
    <w:rsid w:val="00CD158D"/>
    <w:rsid w:val="00CD1F71"/>
    <w:rsid w:val="00CD22FB"/>
    <w:rsid w:val="00CD2F51"/>
    <w:rsid w:val="00CD63BA"/>
    <w:rsid w:val="00CD7A9E"/>
    <w:rsid w:val="00CE3006"/>
    <w:rsid w:val="00CF0CD3"/>
    <w:rsid w:val="00CF17B1"/>
    <w:rsid w:val="00CF4885"/>
    <w:rsid w:val="00CF58D5"/>
    <w:rsid w:val="00CF6946"/>
    <w:rsid w:val="00CF7602"/>
    <w:rsid w:val="00D0192C"/>
    <w:rsid w:val="00D03548"/>
    <w:rsid w:val="00D04635"/>
    <w:rsid w:val="00D04BA3"/>
    <w:rsid w:val="00D04C3A"/>
    <w:rsid w:val="00D06470"/>
    <w:rsid w:val="00D07363"/>
    <w:rsid w:val="00D1086A"/>
    <w:rsid w:val="00D13139"/>
    <w:rsid w:val="00D1361C"/>
    <w:rsid w:val="00D14AAA"/>
    <w:rsid w:val="00D15786"/>
    <w:rsid w:val="00D15C39"/>
    <w:rsid w:val="00D24DDC"/>
    <w:rsid w:val="00D26C8C"/>
    <w:rsid w:val="00D26D9E"/>
    <w:rsid w:val="00D2763E"/>
    <w:rsid w:val="00D306EA"/>
    <w:rsid w:val="00D3086E"/>
    <w:rsid w:val="00D31147"/>
    <w:rsid w:val="00D31575"/>
    <w:rsid w:val="00D32DF5"/>
    <w:rsid w:val="00D33E9D"/>
    <w:rsid w:val="00D34175"/>
    <w:rsid w:val="00D41567"/>
    <w:rsid w:val="00D42CB9"/>
    <w:rsid w:val="00D44A2A"/>
    <w:rsid w:val="00D4607D"/>
    <w:rsid w:val="00D47938"/>
    <w:rsid w:val="00D512FB"/>
    <w:rsid w:val="00D5243A"/>
    <w:rsid w:val="00D53968"/>
    <w:rsid w:val="00D546C5"/>
    <w:rsid w:val="00D556EC"/>
    <w:rsid w:val="00D5641B"/>
    <w:rsid w:val="00D60900"/>
    <w:rsid w:val="00D71300"/>
    <w:rsid w:val="00D7132C"/>
    <w:rsid w:val="00D71A3E"/>
    <w:rsid w:val="00D73AFF"/>
    <w:rsid w:val="00D76304"/>
    <w:rsid w:val="00D770AF"/>
    <w:rsid w:val="00D8149F"/>
    <w:rsid w:val="00D92D60"/>
    <w:rsid w:val="00D96600"/>
    <w:rsid w:val="00DA0BF7"/>
    <w:rsid w:val="00DA36B9"/>
    <w:rsid w:val="00DA5D08"/>
    <w:rsid w:val="00DA6589"/>
    <w:rsid w:val="00DA77B2"/>
    <w:rsid w:val="00DB1A2F"/>
    <w:rsid w:val="00DB24BE"/>
    <w:rsid w:val="00DB3672"/>
    <w:rsid w:val="00DB42F6"/>
    <w:rsid w:val="00DB5603"/>
    <w:rsid w:val="00DB6CA6"/>
    <w:rsid w:val="00DC4B1E"/>
    <w:rsid w:val="00DC4D3E"/>
    <w:rsid w:val="00DC6F71"/>
    <w:rsid w:val="00DC7FC8"/>
    <w:rsid w:val="00DD06DF"/>
    <w:rsid w:val="00DD1A12"/>
    <w:rsid w:val="00DD3577"/>
    <w:rsid w:val="00DD462A"/>
    <w:rsid w:val="00DD69A1"/>
    <w:rsid w:val="00DD69F6"/>
    <w:rsid w:val="00DE51E0"/>
    <w:rsid w:val="00DE5915"/>
    <w:rsid w:val="00DE647F"/>
    <w:rsid w:val="00DF1A18"/>
    <w:rsid w:val="00DF5401"/>
    <w:rsid w:val="00E023D6"/>
    <w:rsid w:val="00E046A0"/>
    <w:rsid w:val="00E049C8"/>
    <w:rsid w:val="00E05CF2"/>
    <w:rsid w:val="00E070D0"/>
    <w:rsid w:val="00E07184"/>
    <w:rsid w:val="00E1211D"/>
    <w:rsid w:val="00E12BC7"/>
    <w:rsid w:val="00E131E2"/>
    <w:rsid w:val="00E14A68"/>
    <w:rsid w:val="00E154FF"/>
    <w:rsid w:val="00E1605F"/>
    <w:rsid w:val="00E17574"/>
    <w:rsid w:val="00E24E6F"/>
    <w:rsid w:val="00E30BC0"/>
    <w:rsid w:val="00E3135C"/>
    <w:rsid w:val="00E331DD"/>
    <w:rsid w:val="00E33DAD"/>
    <w:rsid w:val="00E35528"/>
    <w:rsid w:val="00E37775"/>
    <w:rsid w:val="00E4219D"/>
    <w:rsid w:val="00E4374C"/>
    <w:rsid w:val="00E4404E"/>
    <w:rsid w:val="00E44D09"/>
    <w:rsid w:val="00E44E32"/>
    <w:rsid w:val="00E45254"/>
    <w:rsid w:val="00E45351"/>
    <w:rsid w:val="00E45660"/>
    <w:rsid w:val="00E45A16"/>
    <w:rsid w:val="00E50A0F"/>
    <w:rsid w:val="00E55A2A"/>
    <w:rsid w:val="00E57C50"/>
    <w:rsid w:val="00E608C4"/>
    <w:rsid w:val="00E60C19"/>
    <w:rsid w:val="00E61CA6"/>
    <w:rsid w:val="00E63A1E"/>
    <w:rsid w:val="00E65201"/>
    <w:rsid w:val="00E700FA"/>
    <w:rsid w:val="00E70CA6"/>
    <w:rsid w:val="00E747B3"/>
    <w:rsid w:val="00E76EFD"/>
    <w:rsid w:val="00E810BE"/>
    <w:rsid w:val="00E82C50"/>
    <w:rsid w:val="00E8486B"/>
    <w:rsid w:val="00E84B60"/>
    <w:rsid w:val="00E86A20"/>
    <w:rsid w:val="00E90BAB"/>
    <w:rsid w:val="00E96291"/>
    <w:rsid w:val="00E969C0"/>
    <w:rsid w:val="00EA2D87"/>
    <w:rsid w:val="00EA3252"/>
    <w:rsid w:val="00EA340C"/>
    <w:rsid w:val="00EA5478"/>
    <w:rsid w:val="00EA5BFF"/>
    <w:rsid w:val="00EA6182"/>
    <w:rsid w:val="00EB4A09"/>
    <w:rsid w:val="00EB6026"/>
    <w:rsid w:val="00EB6773"/>
    <w:rsid w:val="00EB7B64"/>
    <w:rsid w:val="00EC05D5"/>
    <w:rsid w:val="00EC1925"/>
    <w:rsid w:val="00EC2D11"/>
    <w:rsid w:val="00EC2E09"/>
    <w:rsid w:val="00EC34B8"/>
    <w:rsid w:val="00ED08A3"/>
    <w:rsid w:val="00ED1B14"/>
    <w:rsid w:val="00ED4988"/>
    <w:rsid w:val="00ED6D72"/>
    <w:rsid w:val="00ED6EC2"/>
    <w:rsid w:val="00EE1786"/>
    <w:rsid w:val="00EE183D"/>
    <w:rsid w:val="00EE4080"/>
    <w:rsid w:val="00EE73A3"/>
    <w:rsid w:val="00EF019D"/>
    <w:rsid w:val="00EF1423"/>
    <w:rsid w:val="00EF37AB"/>
    <w:rsid w:val="00EF3C41"/>
    <w:rsid w:val="00EF7454"/>
    <w:rsid w:val="00F00C7D"/>
    <w:rsid w:val="00F02D9E"/>
    <w:rsid w:val="00F03412"/>
    <w:rsid w:val="00F03FD7"/>
    <w:rsid w:val="00F04EAA"/>
    <w:rsid w:val="00F06543"/>
    <w:rsid w:val="00F06578"/>
    <w:rsid w:val="00F07102"/>
    <w:rsid w:val="00F101FE"/>
    <w:rsid w:val="00F10480"/>
    <w:rsid w:val="00F12149"/>
    <w:rsid w:val="00F16393"/>
    <w:rsid w:val="00F212C0"/>
    <w:rsid w:val="00F22694"/>
    <w:rsid w:val="00F23504"/>
    <w:rsid w:val="00F24E99"/>
    <w:rsid w:val="00F2769D"/>
    <w:rsid w:val="00F27AEB"/>
    <w:rsid w:val="00F30618"/>
    <w:rsid w:val="00F32FA6"/>
    <w:rsid w:val="00F33DFF"/>
    <w:rsid w:val="00F35CD7"/>
    <w:rsid w:val="00F3646B"/>
    <w:rsid w:val="00F40F09"/>
    <w:rsid w:val="00F41F08"/>
    <w:rsid w:val="00F431D7"/>
    <w:rsid w:val="00F444A4"/>
    <w:rsid w:val="00F46C6A"/>
    <w:rsid w:val="00F53563"/>
    <w:rsid w:val="00F53C62"/>
    <w:rsid w:val="00F627A6"/>
    <w:rsid w:val="00F63C05"/>
    <w:rsid w:val="00F63FEF"/>
    <w:rsid w:val="00F640C7"/>
    <w:rsid w:val="00F64ABF"/>
    <w:rsid w:val="00F6622E"/>
    <w:rsid w:val="00F677F5"/>
    <w:rsid w:val="00F70A35"/>
    <w:rsid w:val="00F80402"/>
    <w:rsid w:val="00F8153D"/>
    <w:rsid w:val="00F81A91"/>
    <w:rsid w:val="00F82C45"/>
    <w:rsid w:val="00F85994"/>
    <w:rsid w:val="00F85D9F"/>
    <w:rsid w:val="00F919E4"/>
    <w:rsid w:val="00FA3A1F"/>
    <w:rsid w:val="00FA4844"/>
    <w:rsid w:val="00FB1BF5"/>
    <w:rsid w:val="00FB6918"/>
    <w:rsid w:val="00FB6F8B"/>
    <w:rsid w:val="00FB7671"/>
    <w:rsid w:val="00FB7E6E"/>
    <w:rsid w:val="00FC2D75"/>
    <w:rsid w:val="00FC325B"/>
    <w:rsid w:val="00FC4016"/>
    <w:rsid w:val="00FD3BE0"/>
    <w:rsid w:val="00FD476D"/>
    <w:rsid w:val="00FD4D04"/>
    <w:rsid w:val="00FD556E"/>
    <w:rsid w:val="00FE0CC1"/>
    <w:rsid w:val="00FE1DE6"/>
    <w:rsid w:val="00FE464C"/>
    <w:rsid w:val="00FE4F74"/>
    <w:rsid w:val="00FE57A5"/>
    <w:rsid w:val="00FE5B2E"/>
    <w:rsid w:val="00FE6052"/>
    <w:rsid w:val="00FE657D"/>
    <w:rsid w:val="00FF0135"/>
    <w:rsid w:val="00FF141F"/>
    <w:rsid w:val="00FF16A9"/>
    <w:rsid w:val="00FF3207"/>
    <w:rsid w:val="00FF636D"/>
    <w:rsid w:val="00FF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FB"/>
    <w:pPr>
      <w:jc w:val="both"/>
    </w:pPr>
    <w:rPr>
      <w:rFonts w:ascii="Arial" w:hAnsi="Arial"/>
    </w:rPr>
  </w:style>
  <w:style w:type="paragraph" w:styleId="Heading1">
    <w:name w:val="heading 1"/>
    <w:basedOn w:val="Normal"/>
    <w:next w:val="Normal"/>
    <w:link w:val="Heading1Char"/>
    <w:uiPriority w:val="99"/>
    <w:qFormat/>
    <w:rsid w:val="00CD22FB"/>
    <w:pPr>
      <w:keepNext/>
      <w:outlineLvl w:val="0"/>
    </w:pPr>
    <w:rPr>
      <w:b/>
      <w:i/>
    </w:rPr>
  </w:style>
  <w:style w:type="paragraph" w:styleId="Heading2">
    <w:name w:val="heading 2"/>
    <w:basedOn w:val="Normal"/>
    <w:next w:val="Normal"/>
    <w:link w:val="Heading2Char"/>
    <w:uiPriority w:val="99"/>
    <w:qFormat/>
    <w:rsid w:val="00CD22FB"/>
    <w:pPr>
      <w:keepNext/>
      <w:spacing w:before="20" w:after="20"/>
      <w:jc w:val="left"/>
      <w:outlineLvl w:val="1"/>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2FB"/>
    <w:rPr>
      <w:rFonts w:ascii="Arial" w:hAnsi="Arial" w:cs="Times New Roman"/>
      <w:b/>
      <w:i/>
      <w:sz w:val="22"/>
      <w:szCs w:val="22"/>
      <w:lang w:val="en-GB" w:eastAsia="en-GB" w:bidi="ar-SA"/>
    </w:rPr>
  </w:style>
  <w:style w:type="character" w:customStyle="1" w:styleId="Heading2Char">
    <w:name w:val="Heading 2 Char"/>
    <w:basedOn w:val="DefaultParagraphFont"/>
    <w:link w:val="Heading2"/>
    <w:uiPriority w:val="99"/>
    <w:semiHidden/>
    <w:locked/>
    <w:rsid w:val="00CD22FB"/>
    <w:rPr>
      <w:rFonts w:cs="Times New Roman"/>
      <w:b/>
      <w:i/>
      <w:sz w:val="22"/>
      <w:szCs w:val="22"/>
      <w:lang w:val="en-GB" w:eastAsia="en-GB" w:bidi="ar-SA"/>
    </w:rPr>
  </w:style>
  <w:style w:type="paragraph" w:styleId="Header">
    <w:name w:val="header"/>
    <w:basedOn w:val="Normal"/>
    <w:link w:val="HeaderChar"/>
    <w:uiPriority w:val="99"/>
    <w:rsid w:val="00CD22FB"/>
    <w:pPr>
      <w:tabs>
        <w:tab w:val="center" w:pos="4153"/>
        <w:tab w:val="right" w:pos="8306"/>
      </w:tabs>
    </w:pPr>
  </w:style>
  <w:style w:type="character" w:customStyle="1" w:styleId="HeaderChar">
    <w:name w:val="Header Char"/>
    <w:basedOn w:val="DefaultParagraphFont"/>
    <w:link w:val="Header"/>
    <w:uiPriority w:val="99"/>
    <w:semiHidden/>
    <w:locked/>
    <w:rsid w:val="00CD22FB"/>
    <w:rPr>
      <w:rFonts w:ascii="Arial" w:hAnsi="Arial" w:cs="Times New Roman"/>
      <w:sz w:val="22"/>
      <w:szCs w:val="22"/>
      <w:lang w:val="en-GB" w:eastAsia="en-GB" w:bidi="ar-SA"/>
    </w:rPr>
  </w:style>
  <w:style w:type="paragraph" w:customStyle="1" w:styleId="Normal10pt">
    <w:name w:val="Normal + 10 pt"/>
    <w:aliases w:val="Bold,Before:  3 pt,After:  3 pt"/>
    <w:basedOn w:val="Normal"/>
    <w:uiPriority w:val="99"/>
    <w:rsid w:val="00CD22FB"/>
    <w:pPr>
      <w:spacing w:before="60" w:after="60"/>
    </w:pPr>
    <w:rPr>
      <w:b/>
      <w:sz w:val="20"/>
    </w:rPr>
  </w:style>
  <w:style w:type="paragraph" w:styleId="ListParagraph">
    <w:name w:val="List Paragraph"/>
    <w:basedOn w:val="Normal"/>
    <w:qFormat/>
    <w:rsid w:val="00CD22FB"/>
    <w:pPr>
      <w:ind w:left="720"/>
      <w:contextualSpacing/>
    </w:pPr>
  </w:style>
  <w:style w:type="paragraph" w:styleId="BalloonText">
    <w:name w:val="Balloon Text"/>
    <w:basedOn w:val="Normal"/>
    <w:link w:val="BalloonTextChar"/>
    <w:uiPriority w:val="99"/>
    <w:semiHidden/>
    <w:rsid w:val="00D308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553"/>
    <w:rPr>
      <w:rFonts w:cs="Times New Roman"/>
      <w:sz w:val="2"/>
    </w:rPr>
  </w:style>
  <w:style w:type="table" w:styleId="TableGrid">
    <w:name w:val="Table Grid"/>
    <w:basedOn w:val="TableNormal"/>
    <w:uiPriority w:val="99"/>
    <w:locked/>
    <w:rsid w:val="007B4F2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E5B2E"/>
    <w:rPr>
      <w:sz w:val="24"/>
      <w:szCs w:val="20"/>
    </w:rPr>
  </w:style>
  <w:style w:type="character" w:customStyle="1" w:styleId="BodyText2Char">
    <w:name w:val="Body Text 2 Char"/>
    <w:basedOn w:val="DefaultParagraphFont"/>
    <w:link w:val="BodyText2"/>
    <w:uiPriority w:val="99"/>
    <w:semiHidden/>
    <w:locked/>
    <w:rsid w:val="00591107"/>
    <w:rPr>
      <w:rFonts w:ascii="Arial" w:hAnsi="Arial" w:cs="Times New Roman"/>
    </w:rPr>
  </w:style>
  <w:style w:type="paragraph" w:styleId="Footer">
    <w:name w:val="footer"/>
    <w:basedOn w:val="Normal"/>
    <w:link w:val="FooterChar"/>
    <w:uiPriority w:val="99"/>
    <w:unhideWhenUsed/>
    <w:rsid w:val="004803F1"/>
    <w:pPr>
      <w:tabs>
        <w:tab w:val="center" w:pos="4513"/>
        <w:tab w:val="right" w:pos="9026"/>
      </w:tabs>
    </w:pPr>
  </w:style>
  <w:style w:type="character" w:customStyle="1" w:styleId="FooterChar">
    <w:name w:val="Footer Char"/>
    <w:basedOn w:val="DefaultParagraphFont"/>
    <w:link w:val="Footer"/>
    <w:uiPriority w:val="99"/>
    <w:rsid w:val="004803F1"/>
    <w:rPr>
      <w:rFonts w:ascii="Arial" w:hAnsi="Arial"/>
    </w:rPr>
  </w:style>
  <w:style w:type="paragraph" w:styleId="NoSpacing">
    <w:name w:val="No Spacing"/>
    <w:uiPriority w:val="1"/>
    <w:qFormat/>
    <w:rsid w:val="007262F9"/>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FB"/>
    <w:pPr>
      <w:jc w:val="both"/>
    </w:pPr>
    <w:rPr>
      <w:rFonts w:ascii="Arial" w:hAnsi="Arial"/>
    </w:rPr>
  </w:style>
  <w:style w:type="paragraph" w:styleId="Heading1">
    <w:name w:val="heading 1"/>
    <w:basedOn w:val="Normal"/>
    <w:next w:val="Normal"/>
    <w:link w:val="Heading1Char"/>
    <w:uiPriority w:val="99"/>
    <w:qFormat/>
    <w:rsid w:val="00CD22FB"/>
    <w:pPr>
      <w:keepNext/>
      <w:outlineLvl w:val="0"/>
    </w:pPr>
    <w:rPr>
      <w:b/>
      <w:i/>
    </w:rPr>
  </w:style>
  <w:style w:type="paragraph" w:styleId="Heading2">
    <w:name w:val="heading 2"/>
    <w:basedOn w:val="Normal"/>
    <w:next w:val="Normal"/>
    <w:link w:val="Heading2Char"/>
    <w:uiPriority w:val="99"/>
    <w:qFormat/>
    <w:rsid w:val="00CD22FB"/>
    <w:pPr>
      <w:keepNext/>
      <w:spacing w:before="20" w:after="20"/>
      <w:jc w:val="left"/>
      <w:outlineLvl w:val="1"/>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2FB"/>
    <w:rPr>
      <w:rFonts w:ascii="Arial" w:hAnsi="Arial" w:cs="Times New Roman"/>
      <w:b/>
      <w:i/>
      <w:sz w:val="22"/>
      <w:szCs w:val="22"/>
      <w:lang w:val="en-GB" w:eastAsia="en-GB" w:bidi="ar-SA"/>
    </w:rPr>
  </w:style>
  <w:style w:type="character" w:customStyle="1" w:styleId="Heading2Char">
    <w:name w:val="Heading 2 Char"/>
    <w:basedOn w:val="DefaultParagraphFont"/>
    <w:link w:val="Heading2"/>
    <w:uiPriority w:val="99"/>
    <w:semiHidden/>
    <w:locked/>
    <w:rsid w:val="00CD22FB"/>
    <w:rPr>
      <w:rFonts w:cs="Times New Roman"/>
      <w:b/>
      <w:i/>
      <w:sz w:val="22"/>
      <w:szCs w:val="22"/>
      <w:lang w:val="en-GB" w:eastAsia="en-GB" w:bidi="ar-SA"/>
    </w:rPr>
  </w:style>
  <w:style w:type="paragraph" w:styleId="Header">
    <w:name w:val="header"/>
    <w:basedOn w:val="Normal"/>
    <w:link w:val="HeaderChar"/>
    <w:uiPriority w:val="99"/>
    <w:rsid w:val="00CD22FB"/>
    <w:pPr>
      <w:tabs>
        <w:tab w:val="center" w:pos="4153"/>
        <w:tab w:val="right" w:pos="8306"/>
      </w:tabs>
    </w:pPr>
  </w:style>
  <w:style w:type="character" w:customStyle="1" w:styleId="HeaderChar">
    <w:name w:val="Header Char"/>
    <w:basedOn w:val="DefaultParagraphFont"/>
    <w:link w:val="Header"/>
    <w:uiPriority w:val="99"/>
    <w:semiHidden/>
    <w:locked/>
    <w:rsid w:val="00CD22FB"/>
    <w:rPr>
      <w:rFonts w:ascii="Arial" w:hAnsi="Arial" w:cs="Times New Roman"/>
      <w:sz w:val="22"/>
      <w:szCs w:val="22"/>
      <w:lang w:val="en-GB" w:eastAsia="en-GB" w:bidi="ar-SA"/>
    </w:rPr>
  </w:style>
  <w:style w:type="paragraph" w:customStyle="1" w:styleId="Normal10pt">
    <w:name w:val="Normal + 10 pt"/>
    <w:aliases w:val="Bold,Before:  3 pt,After:  3 pt"/>
    <w:basedOn w:val="Normal"/>
    <w:uiPriority w:val="99"/>
    <w:rsid w:val="00CD22FB"/>
    <w:pPr>
      <w:spacing w:before="60" w:after="60"/>
    </w:pPr>
    <w:rPr>
      <w:b/>
      <w:sz w:val="20"/>
    </w:rPr>
  </w:style>
  <w:style w:type="paragraph" w:styleId="ListParagraph">
    <w:name w:val="List Paragraph"/>
    <w:basedOn w:val="Normal"/>
    <w:qFormat/>
    <w:rsid w:val="00CD22FB"/>
    <w:pPr>
      <w:ind w:left="720"/>
      <w:contextualSpacing/>
    </w:pPr>
  </w:style>
  <w:style w:type="paragraph" w:styleId="BalloonText">
    <w:name w:val="Balloon Text"/>
    <w:basedOn w:val="Normal"/>
    <w:link w:val="BalloonTextChar"/>
    <w:uiPriority w:val="99"/>
    <w:semiHidden/>
    <w:rsid w:val="00D308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553"/>
    <w:rPr>
      <w:rFonts w:cs="Times New Roman"/>
      <w:sz w:val="2"/>
    </w:rPr>
  </w:style>
  <w:style w:type="table" w:styleId="TableGrid">
    <w:name w:val="Table Grid"/>
    <w:basedOn w:val="TableNormal"/>
    <w:uiPriority w:val="99"/>
    <w:locked/>
    <w:rsid w:val="007B4F2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E5B2E"/>
    <w:rPr>
      <w:sz w:val="24"/>
      <w:szCs w:val="20"/>
    </w:rPr>
  </w:style>
  <w:style w:type="character" w:customStyle="1" w:styleId="BodyText2Char">
    <w:name w:val="Body Text 2 Char"/>
    <w:basedOn w:val="DefaultParagraphFont"/>
    <w:link w:val="BodyText2"/>
    <w:uiPriority w:val="99"/>
    <w:semiHidden/>
    <w:locked/>
    <w:rsid w:val="00591107"/>
    <w:rPr>
      <w:rFonts w:ascii="Arial" w:hAnsi="Arial" w:cs="Times New Roman"/>
    </w:rPr>
  </w:style>
  <w:style w:type="paragraph" w:styleId="Footer">
    <w:name w:val="footer"/>
    <w:basedOn w:val="Normal"/>
    <w:link w:val="FooterChar"/>
    <w:uiPriority w:val="99"/>
    <w:unhideWhenUsed/>
    <w:rsid w:val="004803F1"/>
    <w:pPr>
      <w:tabs>
        <w:tab w:val="center" w:pos="4513"/>
        <w:tab w:val="right" w:pos="9026"/>
      </w:tabs>
    </w:pPr>
  </w:style>
  <w:style w:type="character" w:customStyle="1" w:styleId="FooterChar">
    <w:name w:val="Footer Char"/>
    <w:basedOn w:val="DefaultParagraphFont"/>
    <w:link w:val="Footer"/>
    <w:uiPriority w:val="99"/>
    <w:rsid w:val="004803F1"/>
    <w:rPr>
      <w:rFonts w:ascii="Arial" w:hAnsi="Arial"/>
    </w:rPr>
  </w:style>
  <w:style w:type="paragraph" w:styleId="NoSpacing">
    <w:name w:val="No Spacing"/>
    <w:uiPriority w:val="1"/>
    <w:qFormat/>
    <w:rsid w:val="007262F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911">
      <w:bodyDiv w:val="1"/>
      <w:marLeft w:val="0"/>
      <w:marRight w:val="0"/>
      <w:marTop w:val="0"/>
      <w:marBottom w:val="0"/>
      <w:divBdr>
        <w:top w:val="none" w:sz="0" w:space="0" w:color="auto"/>
        <w:left w:val="none" w:sz="0" w:space="0" w:color="auto"/>
        <w:bottom w:val="none" w:sz="0" w:space="0" w:color="auto"/>
        <w:right w:val="none" w:sz="0" w:space="0" w:color="auto"/>
      </w:divBdr>
    </w:div>
    <w:div w:id="77866980">
      <w:bodyDiv w:val="1"/>
      <w:marLeft w:val="0"/>
      <w:marRight w:val="0"/>
      <w:marTop w:val="0"/>
      <w:marBottom w:val="0"/>
      <w:divBdr>
        <w:top w:val="none" w:sz="0" w:space="0" w:color="auto"/>
        <w:left w:val="none" w:sz="0" w:space="0" w:color="auto"/>
        <w:bottom w:val="none" w:sz="0" w:space="0" w:color="auto"/>
        <w:right w:val="none" w:sz="0" w:space="0" w:color="auto"/>
      </w:divBdr>
    </w:div>
    <w:div w:id="82802943">
      <w:bodyDiv w:val="1"/>
      <w:marLeft w:val="0"/>
      <w:marRight w:val="0"/>
      <w:marTop w:val="0"/>
      <w:marBottom w:val="0"/>
      <w:divBdr>
        <w:top w:val="none" w:sz="0" w:space="0" w:color="auto"/>
        <w:left w:val="none" w:sz="0" w:space="0" w:color="auto"/>
        <w:bottom w:val="none" w:sz="0" w:space="0" w:color="auto"/>
        <w:right w:val="none" w:sz="0" w:space="0" w:color="auto"/>
      </w:divBdr>
    </w:div>
    <w:div w:id="320736094">
      <w:bodyDiv w:val="1"/>
      <w:marLeft w:val="0"/>
      <w:marRight w:val="0"/>
      <w:marTop w:val="0"/>
      <w:marBottom w:val="0"/>
      <w:divBdr>
        <w:top w:val="none" w:sz="0" w:space="0" w:color="auto"/>
        <w:left w:val="none" w:sz="0" w:space="0" w:color="auto"/>
        <w:bottom w:val="none" w:sz="0" w:space="0" w:color="auto"/>
        <w:right w:val="none" w:sz="0" w:space="0" w:color="auto"/>
      </w:divBdr>
    </w:div>
    <w:div w:id="519466034">
      <w:bodyDiv w:val="1"/>
      <w:marLeft w:val="0"/>
      <w:marRight w:val="0"/>
      <w:marTop w:val="0"/>
      <w:marBottom w:val="0"/>
      <w:divBdr>
        <w:top w:val="none" w:sz="0" w:space="0" w:color="auto"/>
        <w:left w:val="none" w:sz="0" w:space="0" w:color="auto"/>
        <w:bottom w:val="none" w:sz="0" w:space="0" w:color="auto"/>
        <w:right w:val="none" w:sz="0" w:space="0" w:color="auto"/>
      </w:divBdr>
    </w:div>
    <w:div w:id="684938578">
      <w:bodyDiv w:val="1"/>
      <w:marLeft w:val="0"/>
      <w:marRight w:val="0"/>
      <w:marTop w:val="0"/>
      <w:marBottom w:val="0"/>
      <w:divBdr>
        <w:top w:val="none" w:sz="0" w:space="0" w:color="auto"/>
        <w:left w:val="none" w:sz="0" w:space="0" w:color="auto"/>
        <w:bottom w:val="none" w:sz="0" w:space="0" w:color="auto"/>
        <w:right w:val="none" w:sz="0" w:space="0" w:color="auto"/>
      </w:divBdr>
    </w:div>
    <w:div w:id="721099662">
      <w:bodyDiv w:val="1"/>
      <w:marLeft w:val="0"/>
      <w:marRight w:val="0"/>
      <w:marTop w:val="0"/>
      <w:marBottom w:val="0"/>
      <w:divBdr>
        <w:top w:val="none" w:sz="0" w:space="0" w:color="auto"/>
        <w:left w:val="none" w:sz="0" w:space="0" w:color="auto"/>
        <w:bottom w:val="none" w:sz="0" w:space="0" w:color="auto"/>
        <w:right w:val="none" w:sz="0" w:space="0" w:color="auto"/>
      </w:divBdr>
    </w:div>
    <w:div w:id="751270662">
      <w:bodyDiv w:val="1"/>
      <w:marLeft w:val="0"/>
      <w:marRight w:val="0"/>
      <w:marTop w:val="0"/>
      <w:marBottom w:val="0"/>
      <w:divBdr>
        <w:top w:val="none" w:sz="0" w:space="0" w:color="auto"/>
        <w:left w:val="none" w:sz="0" w:space="0" w:color="auto"/>
        <w:bottom w:val="none" w:sz="0" w:space="0" w:color="auto"/>
        <w:right w:val="none" w:sz="0" w:space="0" w:color="auto"/>
      </w:divBdr>
    </w:div>
    <w:div w:id="919099126">
      <w:bodyDiv w:val="1"/>
      <w:marLeft w:val="0"/>
      <w:marRight w:val="0"/>
      <w:marTop w:val="0"/>
      <w:marBottom w:val="0"/>
      <w:divBdr>
        <w:top w:val="none" w:sz="0" w:space="0" w:color="auto"/>
        <w:left w:val="none" w:sz="0" w:space="0" w:color="auto"/>
        <w:bottom w:val="none" w:sz="0" w:space="0" w:color="auto"/>
        <w:right w:val="none" w:sz="0" w:space="0" w:color="auto"/>
      </w:divBdr>
    </w:div>
    <w:div w:id="928123999">
      <w:bodyDiv w:val="1"/>
      <w:marLeft w:val="0"/>
      <w:marRight w:val="0"/>
      <w:marTop w:val="0"/>
      <w:marBottom w:val="0"/>
      <w:divBdr>
        <w:top w:val="none" w:sz="0" w:space="0" w:color="auto"/>
        <w:left w:val="none" w:sz="0" w:space="0" w:color="auto"/>
        <w:bottom w:val="none" w:sz="0" w:space="0" w:color="auto"/>
        <w:right w:val="none" w:sz="0" w:space="0" w:color="auto"/>
      </w:divBdr>
    </w:div>
    <w:div w:id="957834377">
      <w:bodyDiv w:val="1"/>
      <w:marLeft w:val="0"/>
      <w:marRight w:val="0"/>
      <w:marTop w:val="0"/>
      <w:marBottom w:val="0"/>
      <w:divBdr>
        <w:top w:val="none" w:sz="0" w:space="0" w:color="auto"/>
        <w:left w:val="none" w:sz="0" w:space="0" w:color="auto"/>
        <w:bottom w:val="none" w:sz="0" w:space="0" w:color="auto"/>
        <w:right w:val="none" w:sz="0" w:space="0" w:color="auto"/>
      </w:divBdr>
    </w:div>
    <w:div w:id="961426805">
      <w:bodyDiv w:val="1"/>
      <w:marLeft w:val="0"/>
      <w:marRight w:val="0"/>
      <w:marTop w:val="0"/>
      <w:marBottom w:val="0"/>
      <w:divBdr>
        <w:top w:val="none" w:sz="0" w:space="0" w:color="auto"/>
        <w:left w:val="none" w:sz="0" w:space="0" w:color="auto"/>
        <w:bottom w:val="none" w:sz="0" w:space="0" w:color="auto"/>
        <w:right w:val="none" w:sz="0" w:space="0" w:color="auto"/>
      </w:divBdr>
    </w:div>
    <w:div w:id="1070228426">
      <w:bodyDiv w:val="1"/>
      <w:marLeft w:val="0"/>
      <w:marRight w:val="0"/>
      <w:marTop w:val="0"/>
      <w:marBottom w:val="0"/>
      <w:divBdr>
        <w:top w:val="none" w:sz="0" w:space="0" w:color="auto"/>
        <w:left w:val="none" w:sz="0" w:space="0" w:color="auto"/>
        <w:bottom w:val="none" w:sz="0" w:space="0" w:color="auto"/>
        <w:right w:val="none" w:sz="0" w:space="0" w:color="auto"/>
      </w:divBdr>
    </w:div>
    <w:div w:id="1150438908">
      <w:bodyDiv w:val="1"/>
      <w:marLeft w:val="0"/>
      <w:marRight w:val="0"/>
      <w:marTop w:val="0"/>
      <w:marBottom w:val="0"/>
      <w:divBdr>
        <w:top w:val="none" w:sz="0" w:space="0" w:color="auto"/>
        <w:left w:val="none" w:sz="0" w:space="0" w:color="auto"/>
        <w:bottom w:val="none" w:sz="0" w:space="0" w:color="auto"/>
        <w:right w:val="none" w:sz="0" w:space="0" w:color="auto"/>
      </w:divBdr>
    </w:div>
    <w:div w:id="1310785957">
      <w:bodyDiv w:val="1"/>
      <w:marLeft w:val="0"/>
      <w:marRight w:val="0"/>
      <w:marTop w:val="0"/>
      <w:marBottom w:val="0"/>
      <w:divBdr>
        <w:top w:val="none" w:sz="0" w:space="0" w:color="auto"/>
        <w:left w:val="none" w:sz="0" w:space="0" w:color="auto"/>
        <w:bottom w:val="none" w:sz="0" w:space="0" w:color="auto"/>
        <w:right w:val="none" w:sz="0" w:space="0" w:color="auto"/>
      </w:divBdr>
    </w:div>
    <w:div w:id="1344553152">
      <w:bodyDiv w:val="1"/>
      <w:marLeft w:val="0"/>
      <w:marRight w:val="0"/>
      <w:marTop w:val="0"/>
      <w:marBottom w:val="0"/>
      <w:divBdr>
        <w:top w:val="none" w:sz="0" w:space="0" w:color="auto"/>
        <w:left w:val="none" w:sz="0" w:space="0" w:color="auto"/>
        <w:bottom w:val="none" w:sz="0" w:space="0" w:color="auto"/>
        <w:right w:val="none" w:sz="0" w:space="0" w:color="auto"/>
      </w:divBdr>
    </w:div>
    <w:div w:id="1532453969">
      <w:bodyDiv w:val="1"/>
      <w:marLeft w:val="0"/>
      <w:marRight w:val="0"/>
      <w:marTop w:val="0"/>
      <w:marBottom w:val="0"/>
      <w:divBdr>
        <w:top w:val="none" w:sz="0" w:space="0" w:color="auto"/>
        <w:left w:val="none" w:sz="0" w:space="0" w:color="auto"/>
        <w:bottom w:val="none" w:sz="0" w:space="0" w:color="auto"/>
        <w:right w:val="none" w:sz="0" w:space="0" w:color="auto"/>
      </w:divBdr>
    </w:div>
    <w:div w:id="1648627165">
      <w:bodyDiv w:val="1"/>
      <w:marLeft w:val="0"/>
      <w:marRight w:val="0"/>
      <w:marTop w:val="0"/>
      <w:marBottom w:val="0"/>
      <w:divBdr>
        <w:top w:val="none" w:sz="0" w:space="0" w:color="auto"/>
        <w:left w:val="none" w:sz="0" w:space="0" w:color="auto"/>
        <w:bottom w:val="none" w:sz="0" w:space="0" w:color="auto"/>
        <w:right w:val="none" w:sz="0" w:space="0" w:color="auto"/>
      </w:divBdr>
    </w:div>
    <w:div w:id="20979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DF1A-F80B-4E80-88BC-F509F7DE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1364</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Report of the Head of Finance Property and Revenue Services</vt:lpstr>
    </vt:vector>
  </TitlesOfParts>
  <Company>Mansfield District Council</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Head of Finance Property and Revenue Services</dc:title>
  <dc:creator>ahallwright</dc:creator>
  <cp:lastModifiedBy>Mark Pemberton</cp:lastModifiedBy>
  <cp:revision>2</cp:revision>
  <cp:lastPrinted>2018-08-23T12:14:00Z</cp:lastPrinted>
  <dcterms:created xsi:type="dcterms:W3CDTF">2018-09-10T10:15:00Z</dcterms:created>
  <dcterms:modified xsi:type="dcterms:W3CDTF">2018-09-10T10:15:00Z</dcterms:modified>
</cp:coreProperties>
</file>